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66" w:rsidRDefault="00066166">
      <w:pPr>
        <w:ind w:leftChars="1885" w:left="3958"/>
        <w:jc w:val="right"/>
        <w:rPr>
          <w:b/>
          <w:color w:val="000000" w:themeColor="text1"/>
          <w:kern w:val="0"/>
          <w:sz w:val="24"/>
        </w:rPr>
      </w:pPr>
      <w:bookmarkStart w:id="0" w:name="_GoBack"/>
      <w:bookmarkEnd w:id="0"/>
    </w:p>
    <w:p w:rsidR="00066166" w:rsidRDefault="00F62BD0">
      <w:pPr>
        <w:ind w:leftChars="1885" w:left="3958"/>
        <w:rPr>
          <w:color w:val="000000" w:themeColor="text1"/>
          <w:sz w:val="30"/>
          <w:szCs w:val="30"/>
        </w:rPr>
      </w:pPr>
      <w:r>
        <w:rPr>
          <w:color w:val="000000" w:themeColor="text1"/>
          <w:kern w:val="0"/>
          <w:sz w:val="24"/>
        </w:rPr>
        <w:t>信托公司管理信托财产应恪尽职守，履行诚实、信用、谨慎、有效管理的义务。信托公司依据本信托合同约定管理信托财产所产生的风险，由信托财产承担。信托公司因违背本信托合同、处理信托事务不当而造成信托财产损失的，由信托公司以固有财产赔偿；不足赔偿时，由投资者自担。</w:t>
      </w:r>
    </w:p>
    <w:p w:rsidR="00066166" w:rsidRDefault="00066166">
      <w:pPr>
        <w:rPr>
          <w:color w:val="000000" w:themeColor="text1"/>
          <w:sz w:val="30"/>
          <w:szCs w:val="30"/>
        </w:rPr>
      </w:pPr>
    </w:p>
    <w:p w:rsidR="00066166" w:rsidRDefault="00066166">
      <w:pPr>
        <w:rPr>
          <w:color w:val="000000" w:themeColor="text1"/>
          <w:sz w:val="30"/>
          <w:szCs w:val="30"/>
        </w:rPr>
      </w:pPr>
    </w:p>
    <w:bookmarkStart w:id="1" w:name="OLE_LINK125"/>
    <w:bookmarkStart w:id="2" w:name="OLE_LINK126"/>
    <w:bookmarkStart w:id="3" w:name="OLE_LINK127"/>
    <w:bookmarkStart w:id="4" w:name="OLE_LINK124"/>
    <w:p w:rsidR="00066166" w:rsidRDefault="00F62BD0">
      <w:pPr>
        <w:rPr>
          <w:color w:val="000000" w:themeColor="text1"/>
          <w:sz w:val="30"/>
          <w:szCs w:val="30"/>
        </w:rPr>
      </w:pPr>
      <w:r>
        <w:rPr>
          <w:noProof/>
          <w:color w:val="000000" w:themeColor="text1"/>
          <w:sz w:val="44"/>
          <w:szCs w:val="4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186690</wp:posOffset>
                </wp:positionV>
                <wp:extent cx="3543300" cy="0"/>
                <wp:effectExtent l="28575" t="30480" r="28575" b="361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63pt;margin-top:14.7pt;height:0pt;width:279pt;z-index:251659264;mso-width-relative:page;mso-height-relative:page;" filled="f" stroked="t" coordsize="21600,21600" o:gfxdata="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MrqtkAAAAJAQAADwAAAAAAAAABACAAAAAiAAAAZHJz&#10;L2Rvd25yZXYueG1sUEsBAhQAFAAAAAgAh07iQEu8FQHKAQAAoAMAAA4AAAAAAAAAAQAgAAAAKAEA&#10;AGRycy9lMm9Eb2MueG1sUEsFBgAAAAAGAAYAWQEAAGQFAAAAAA==&#10;">
                <v:fill on="f" focussize="0,0"/>
                <v:stroke weight="4.5pt" color="#000000" joinstyle="round"/>
                <v:imagedata o:title=""/>
                <o:lock v:ext="edit" aspectratio="f"/>
              </v:line>
            </w:pict>
          </mc:Fallback>
        </mc:AlternateContent>
      </w:r>
      <w:bookmarkEnd w:id="1"/>
      <w:bookmarkEnd w:id="2"/>
      <w:bookmarkEnd w:id="3"/>
      <w:bookmarkEnd w:id="4"/>
    </w:p>
    <w:p w:rsidR="00066166" w:rsidRDefault="00F62BD0">
      <w:pPr>
        <w:spacing w:line="276" w:lineRule="auto"/>
        <w:jc w:val="center"/>
        <w:rPr>
          <w:b/>
          <w:color w:val="000000" w:themeColor="text1"/>
          <w:sz w:val="32"/>
          <w:szCs w:val="32"/>
        </w:rPr>
      </w:pPr>
      <w:bookmarkStart w:id="5" w:name="_Hlk516221170"/>
      <w:r>
        <w:rPr>
          <w:rFonts w:hint="eastAsia"/>
          <w:b/>
          <w:color w:val="000000" w:themeColor="text1"/>
          <w:sz w:val="32"/>
          <w:szCs w:val="32"/>
        </w:rPr>
        <w:t>五矿信托磐石系列</w:t>
      </w:r>
      <w:r>
        <w:rPr>
          <w:rFonts w:hint="eastAsia"/>
          <w:b/>
          <w:color w:val="000000" w:themeColor="text1"/>
          <w:sz w:val="32"/>
          <w:szCs w:val="32"/>
        </w:rPr>
        <w:t>-</w:t>
      </w:r>
      <w:r>
        <w:rPr>
          <w:rFonts w:hint="eastAsia"/>
          <w:b/>
          <w:color w:val="000000" w:themeColor="text1"/>
          <w:sz w:val="32"/>
          <w:szCs w:val="32"/>
        </w:rPr>
        <w:t>建盈稳冀</w:t>
      </w:r>
      <w:r>
        <w:rPr>
          <w:rFonts w:hint="eastAsia"/>
          <w:b/>
          <w:color w:val="000000" w:themeColor="text1"/>
          <w:sz w:val="32"/>
          <w:szCs w:val="32"/>
        </w:rPr>
        <w:t>2</w:t>
      </w:r>
      <w:r>
        <w:rPr>
          <w:rFonts w:hint="eastAsia"/>
          <w:b/>
          <w:color w:val="000000" w:themeColor="text1"/>
          <w:sz w:val="32"/>
          <w:szCs w:val="32"/>
        </w:rPr>
        <w:t>号</w:t>
      </w:r>
      <w:r>
        <w:rPr>
          <w:rFonts w:hint="eastAsia"/>
          <w:b/>
          <w:color w:val="000000" w:themeColor="text1"/>
          <w:sz w:val="32"/>
          <w:szCs w:val="32"/>
        </w:rPr>
        <w:t>集合资金信托计划</w:t>
      </w:r>
    </w:p>
    <w:p w:rsidR="00066166" w:rsidRDefault="00F62BD0">
      <w:pPr>
        <w:spacing w:line="276" w:lineRule="auto"/>
        <w:jc w:val="center"/>
        <w:rPr>
          <w:b/>
          <w:color w:val="000000" w:themeColor="text1"/>
          <w:sz w:val="32"/>
        </w:rPr>
      </w:pPr>
      <w:r>
        <w:rPr>
          <w:rFonts w:hint="eastAsia"/>
          <w:b/>
          <w:color w:val="000000" w:themeColor="text1"/>
          <w:sz w:val="32"/>
        </w:rPr>
        <w:t>信托合同</w:t>
      </w:r>
      <w:bookmarkEnd w:id="5"/>
    </w:p>
    <w:p w:rsidR="00066166" w:rsidRDefault="00F62BD0">
      <w:pPr>
        <w:jc w:val="center"/>
        <w:rPr>
          <w:color w:val="000000" w:themeColor="text1"/>
          <w:sz w:val="44"/>
          <w:szCs w:val="44"/>
        </w:rPr>
      </w:pPr>
      <w:r>
        <w:rPr>
          <w:noProof/>
          <w:color w:val="000000" w:themeColor="text1"/>
          <w:sz w:val="44"/>
          <w:szCs w:val="44"/>
        </w:rPr>
        <mc:AlternateContent>
          <mc:Choice Requires="wps">
            <w:drawing>
              <wp:anchor distT="0" distB="0" distL="114300" distR="114300" simplePos="0" relativeHeight="251660288" behindDoc="0" locked="0" layoutInCell="1" allowOverlap="1" wp14:anchorId="50E8D8E8" wp14:editId="0FD615D3">
                <wp:simplePos x="0" y="0"/>
                <wp:positionH relativeFrom="column">
                  <wp:posOffset>800100</wp:posOffset>
                </wp:positionH>
                <wp:positionV relativeFrom="paragraph">
                  <wp:posOffset>186690</wp:posOffset>
                </wp:positionV>
                <wp:extent cx="3543300" cy="0"/>
                <wp:effectExtent l="28575" t="28575"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63pt;margin-top:14.7pt;height:0pt;width:279pt;z-index:251660288;mso-width-relative:page;mso-height-relative:page;" filled="f" stroked="t" coordsize="21600,21600" o:gfxdata="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MrqtkAAAAJAQAADwAAAAAAAAABACAAAAAiAAAAZHJz&#10;L2Rvd25yZXYueG1sUEsBAhQAFAAAAAgAh07iQAKTmDXKAQAAoAMAAA4AAAAAAAAAAQAgAAAAKAEA&#10;AGRycy9lMm9Eb2MueG1sUEsFBgAAAAAGAAYAWQEAAGQFAAAAAA==&#10;">
                <v:fill on="f" focussize="0,0"/>
                <v:stroke weight="4.5pt" color="#000000" joinstyle="round"/>
                <v:imagedata o:title=""/>
                <o:lock v:ext="edit" aspectratio="f"/>
              </v:line>
            </w:pict>
          </mc:Fallback>
        </mc:AlternateContent>
      </w:r>
    </w:p>
    <w:p w:rsidR="00066166" w:rsidRDefault="00066166">
      <w:pPr>
        <w:jc w:val="center"/>
        <w:rPr>
          <w:color w:val="000000" w:themeColor="text1"/>
          <w:sz w:val="28"/>
          <w:szCs w:val="28"/>
        </w:rPr>
      </w:pPr>
    </w:p>
    <w:p w:rsidR="00066166" w:rsidRDefault="00F62BD0">
      <w:pPr>
        <w:jc w:val="center"/>
        <w:rPr>
          <w:color w:val="000000" w:themeColor="text1"/>
          <w:sz w:val="28"/>
          <w:szCs w:val="28"/>
        </w:rPr>
      </w:pPr>
      <w:r>
        <w:rPr>
          <w:color w:val="000000" w:themeColor="text1"/>
          <w:sz w:val="28"/>
          <w:szCs w:val="28"/>
        </w:rPr>
        <w:t>合同编号：</w:t>
      </w:r>
      <w:r>
        <w:rPr>
          <w:rFonts w:hint="eastAsia"/>
          <w:color w:val="000000" w:themeColor="text1"/>
          <w:sz w:val="28"/>
          <w:szCs w:val="28"/>
        </w:rPr>
        <w:t>【</w:t>
      </w:r>
      <w:r>
        <w:rPr>
          <w:color w:val="000000" w:themeColor="text1"/>
          <w:sz w:val="28"/>
          <w:szCs w:val="28"/>
        </w:rPr>
        <w:t>P2021M13A-WJ</w:t>
      </w:r>
      <w:r>
        <w:rPr>
          <w:rFonts w:hint="eastAsia"/>
          <w:color w:val="000000" w:themeColor="text1"/>
          <w:sz w:val="28"/>
          <w:szCs w:val="28"/>
        </w:rPr>
        <w:t>2</w:t>
      </w:r>
      <w:r>
        <w:rPr>
          <w:color w:val="000000" w:themeColor="text1"/>
          <w:sz w:val="28"/>
          <w:szCs w:val="28"/>
        </w:rPr>
        <w:t>H-001</w:t>
      </w:r>
      <w:r>
        <w:rPr>
          <w:rFonts w:hint="eastAsia"/>
          <w:color w:val="000000" w:themeColor="text1"/>
          <w:sz w:val="28"/>
          <w:szCs w:val="28"/>
        </w:rPr>
        <w:t>】</w:t>
      </w:r>
    </w:p>
    <w:p w:rsidR="00066166" w:rsidRDefault="00F62BD0">
      <w:pPr>
        <w:jc w:val="center"/>
        <w:rPr>
          <w:color w:val="000000" w:themeColor="text1"/>
          <w:sz w:val="28"/>
          <w:szCs w:val="28"/>
        </w:rPr>
      </w:pPr>
      <w:r>
        <w:rPr>
          <w:rFonts w:hint="eastAsia"/>
          <w:color w:val="000000" w:themeColor="text1"/>
          <w:sz w:val="28"/>
          <w:szCs w:val="28"/>
        </w:rPr>
        <w:t>产品登记编码：【</w:t>
      </w:r>
      <w:r>
        <w:rPr>
          <w:rFonts w:hint="eastAsia"/>
          <w:color w:val="000000" w:themeColor="text1"/>
          <w:sz w:val="28"/>
          <w:szCs w:val="28"/>
        </w:rPr>
        <w:t>ZXD32W202111010053269</w:t>
      </w:r>
      <w:r>
        <w:rPr>
          <w:rFonts w:hint="eastAsia"/>
          <w:color w:val="000000" w:themeColor="text1"/>
          <w:sz w:val="28"/>
          <w:szCs w:val="28"/>
        </w:rPr>
        <w:t>】</w:t>
      </w: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F62BD0">
      <w:pPr>
        <w:jc w:val="cente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F62BD0">
      <w:pPr>
        <w:jc w:val="center"/>
        <w:rPr>
          <w:color w:val="000000" w:themeColor="text1"/>
          <w:sz w:val="28"/>
          <w:szCs w:val="28"/>
        </w:rPr>
      </w:pPr>
      <w:r>
        <w:rPr>
          <w:color w:val="000000" w:themeColor="text1"/>
          <w:sz w:val="28"/>
          <w:szCs w:val="28"/>
        </w:rPr>
        <w:t>受托人：五矿国际信托有限公司</w:t>
      </w:r>
    </w:p>
    <w:p w:rsidR="00066166" w:rsidRDefault="00F62BD0">
      <w:pPr>
        <w:spacing w:beforeLines="50" w:before="156" w:afterLines="100" w:after="312" w:line="360" w:lineRule="auto"/>
        <w:jc w:val="center"/>
        <w:rPr>
          <w:rFonts w:ascii="宋体" w:hAnsi="宋体"/>
          <w:b/>
          <w:color w:val="000000" w:themeColor="text1"/>
          <w:sz w:val="28"/>
        </w:rPr>
      </w:pPr>
      <w:r>
        <w:rPr>
          <w:color w:val="000000" w:themeColor="text1"/>
        </w:rPr>
        <w:br w:type="page"/>
      </w:r>
      <w:r>
        <w:rPr>
          <w:rFonts w:ascii="宋体" w:hAnsi="宋体" w:hint="eastAsia"/>
          <w:b/>
          <w:color w:val="000000" w:themeColor="text1"/>
          <w:sz w:val="28"/>
        </w:rPr>
        <w:lastRenderedPageBreak/>
        <w:t>目录</w:t>
      </w:r>
    </w:p>
    <w:p w:rsidR="00066166" w:rsidRDefault="00F62BD0">
      <w:pPr>
        <w:pStyle w:val="10"/>
        <w:rPr>
          <w:rFonts w:asciiTheme="minorHAnsi" w:eastAsiaTheme="minorEastAsia" w:hAnsiTheme="minorHAnsi" w:cstheme="minorBidi"/>
          <w:sz w:val="21"/>
          <w:szCs w:val="22"/>
        </w:rPr>
      </w:pPr>
      <w:r>
        <w:rPr>
          <w:rFonts w:eastAsia="宋体"/>
          <w:color w:val="000000" w:themeColor="text1"/>
        </w:rPr>
        <w:fldChar w:fldCharType="begin"/>
      </w:r>
      <w:r>
        <w:rPr>
          <w:rFonts w:eastAsia="仿宋_GB2312"/>
          <w:color w:val="000000" w:themeColor="text1"/>
        </w:rPr>
        <w:instrText xml:space="preserve"> TOC \o "1-1" \h \z \u </w:instrText>
      </w:r>
      <w:r>
        <w:rPr>
          <w:rFonts w:eastAsia="宋体"/>
          <w:color w:val="000000" w:themeColor="text1"/>
        </w:rPr>
        <w:fldChar w:fldCharType="separate"/>
      </w:r>
      <w:bookmarkStart w:id="6" w:name="_Hlt360537767"/>
      <w:bookmarkStart w:id="7" w:name="_Hlt360537766"/>
      <w:bookmarkEnd w:id="6"/>
      <w:bookmarkEnd w:id="7"/>
      <w:r>
        <w:rPr>
          <w:rStyle w:val="af2"/>
        </w:rPr>
        <w:fldChar w:fldCharType="begin"/>
      </w:r>
      <w:r>
        <w:rPr>
          <w:rStyle w:val="af2"/>
        </w:rPr>
        <w:instrText xml:space="preserve"> </w:instrText>
      </w:r>
      <w:r>
        <w:instrText>HYPERLINK \l "_Toc91143601"</w:instrText>
      </w:r>
      <w:r>
        <w:rPr>
          <w:rStyle w:val="af2"/>
        </w:rPr>
        <w:instrText xml:space="preserve"> </w:instrText>
      </w:r>
      <w:r>
        <w:rPr>
          <w:rStyle w:val="af2"/>
        </w:rPr>
        <w:fldChar w:fldCharType="separate"/>
      </w:r>
      <w:r>
        <w:rPr>
          <w:rStyle w:val="af2"/>
        </w:rPr>
        <w:t>第一条</w:t>
      </w:r>
      <w:r>
        <w:rPr>
          <w:rFonts w:asciiTheme="minorHAnsi" w:eastAsiaTheme="minorEastAsia" w:hAnsiTheme="minorHAnsi" w:cstheme="minorBidi"/>
          <w:sz w:val="21"/>
          <w:szCs w:val="22"/>
        </w:rPr>
        <w:tab/>
      </w:r>
      <w:r>
        <w:rPr>
          <w:rStyle w:val="af2"/>
        </w:rPr>
        <w:t>定义</w:t>
      </w:r>
      <w:r>
        <w:tab/>
      </w:r>
      <w:r>
        <w:fldChar w:fldCharType="begin"/>
      </w:r>
      <w:r>
        <w:instrText xml:space="preserve"> PAGEREF _Toc91143601 \h </w:instrText>
      </w:r>
      <w:r>
        <w:fldChar w:fldCharType="separate"/>
      </w:r>
      <w:r>
        <w:t>4</w:t>
      </w:r>
      <w:r>
        <w:fldChar w:fldCharType="end"/>
      </w:r>
      <w:r>
        <w:rPr>
          <w:rStyle w:val="af2"/>
        </w:rPr>
        <w:fldChar w:fldCharType="end"/>
      </w:r>
    </w:p>
    <w:p w:rsidR="00066166" w:rsidRDefault="00F62BD0">
      <w:pPr>
        <w:pStyle w:val="10"/>
        <w:rPr>
          <w:rFonts w:asciiTheme="minorHAnsi" w:eastAsiaTheme="minorEastAsia" w:hAnsiTheme="minorHAnsi" w:cstheme="minorBidi"/>
          <w:sz w:val="21"/>
          <w:szCs w:val="22"/>
        </w:rPr>
      </w:pPr>
      <w:hyperlink w:anchor="_Toc91143602" w:history="1">
        <w:r>
          <w:rPr>
            <w:rStyle w:val="af2"/>
          </w:rPr>
          <w:t>第二条</w:t>
        </w:r>
        <w:r>
          <w:rPr>
            <w:rFonts w:asciiTheme="minorHAnsi" w:eastAsiaTheme="minorEastAsia" w:hAnsiTheme="minorHAnsi" w:cstheme="minorBidi"/>
            <w:sz w:val="21"/>
            <w:szCs w:val="22"/>
          </w:rPr>
          <w:tab/>
        </w:r>
        <w:r>
          <w:rPr>
            <w:rStyle w:val="af2"/>
          </w:rPr>
          <w:t>信托事务管理人</w:t>
        </w:r>
        <w:r>
          <w:tab/>
        </w:r>
        <w:r>
          <w:fldChar w:fldCharType="begin"/>
        </w:r>
        <w:r>
          <w:instrText xml:space="preserve"> PAGEREF _Toc91143602 \h </w:instrText>
        </w:r>
        <w:r>
          <w:fldChar w:fldCharType="separate"/>
        </w:r>
        <w:r>
          <w:t>10</w:t>
        </w:r>
        <w:r>
          <w:fldChar w:fldCharType="end"/>
        </w:r>
      </w:hyperlink>
    </w:p>
    <w:p w:rsidR="00066166" w:rsidRDefault="00F62BD0">
      <w:pPr>
        <w:pStyle w:val="10"/>
        <w:rPr>
          <w:rFonts w:asciiTheme="minorHAnsi" w:eastAsiaTheme="minorEastAsia" w:hAnsiTheme="minorHAnsi" w:cstheme="minorBidi"/>
          <w:sz w:val="21"/>
          <w:szCs w:val="22"/>
        </w:rPr>
      </w:pPr>
      <w:hyperlink w:anchor="_Toc91143603" w:history="1">
        <w:r>
          <w:rPr>
            <w:rStyle w:val="af2"/>
          </w:rPr>
          <w:t>第三条</w:t>
        </w:r>
        <w:r>
          <w:rPr>
            <w:rFonts w:asciiTheme="minorHAnsi" w:eastAsiaTheme="minorEastAsia" w:hAnsiTheme="minorHAnsi" w:cstheme="minorBidi"/>
            <w:sz w:val="21"/>
            <w:szCs w:val="22"/>
          </w:rPr>
          <w:tab/>
        </w:r>
        <w:r>
          <w:rPr>
            <w:rStyle w:val="af2"/>
          </w:rPr>
          <w:t>信托目的</w:t>
        </w:r>
        <w:r>
          <w:tab/>
        </w:r>
        <w:r>
          <w:fldChar w:fldCharType="begin"/>
        </w:r>
        <w:r>
          <w:instrText xml:space="preserve"> PAGEREF _Toc91143603 \h </w:instrText>
        </w:r>
        <w:r>
          <w:fldChar w:fldCharType="separate"/>
        </w:r>
        <w:r>
          <w:t>10</w:t>
        </w:r>
        <w:r>
          <w:fldChar w:fldCharType="end"/>
        </w:r>
      </w:hyperlink>
    </w:p>
    <w:p w:rsidR="00066166" w:rsidRDefault="00F62BD0">
      <w:pPr>
        <w:pStyle w:val="10"/>
        <w:rPr>
          <w:rFonts w:asciiTheme="minorHAnsi" w:eastAsiaTheme="minorEastAsia" w:hAnsiTheme="minorHAnsi" w:cstheme="minorBidi"/>
          <w:sz w:val="21"/>
          <w:szCs w:val="22"/>
        </w:rPr>
      </w:pPr>
      <w:hyperlink w:anchor="_Toc91143604" w:history="1">
        <w:r>
          <w:rPr>
            <w:rStyle w:val="af2"/>
          </w:rPr>
          <w:t>第四条</w:t>
        </w:r>
        <w:r>
          <w:rPr>
            <w:rFonts w:asciiTheme="minorHAnsi" w:eastAsiaTheme="minorEastAsia" w:hAnsiTheme="minorHAnsi" w:cstheme="minorBidi"/>
            <w:sz w:val="21"/>
            <w:szCs w:val="22"/>
          </w:rPr>
          <w:tab/>
        </w:r>
        <w:r>
          <w:rPr>
            <w:rStyle w:val="af2"/>
          </w:rPr>
          <w:t>信托计划的基本情况</w:t>
        </w:r>
        <w:r>
          <w:tab/>
        </w:r>
        <w:r>
          <w:fldChar w:fldCharType="begin"/>
        </w:r>
        <w:r>
          <w:instrText xml:space="preserve"> PAGEREF _Toc91143604 \h </w:instrText>
        </w:r>
        <w:r>
          <w:fldChar w:fldCharType="separate"/>
        </w:r>
        <w:r>
          <w:t>10</w:t>
        </w:r>
        <w:r>
          <w:fldChar w:fldCharType="end"/>
        </w:r>
      </w:hyperlink>
    </w:p>
    <w:p w:rsidR="00066166" w:rsidRDefault="00F62BD0">
      <w:pPr>
        <w:pStyle w:val="10"/>
        <w:rPr>
          <w:rFonts w:asciiTheme="minorHAnsi" w:eastAsiaTheme="minorEastAsia" w:hAnsiTheme="minorHAnsi" w:cstheme="minorBidi"/>
          <w:sz w:val="21"/>
          <w:szCs w:val="22"/>
        </w:rPr>
      </w:pPr>
      <w:hyperlink w:anchor="_Toc91143605" w:history="1">
        <w:r>
          <w:rPr>
            <w:rStyle w:val="af2"/>
          </w:rPr>
          <w:t>第五条</w:t>
        </w:r>
        <w:r>
          <w:rPr>
            <w:rFonts w:asciiTheme="minorHAnsi" w:eastAsiaTheme="minorEastAsia" w:hAnsiTheme="minorHAnsi" w:cstheme="minorBidi"/>
            <w:sz w:val="21"/>
            <w:szCs w:val="22"/>
          </w:rPr>
          <w:tab/>
        </w:r>
        <w:r>
          <w:rPr>
            <w:rStyle w:val="af2"/>
          </w:rPr>
          <w:t>信托受益权、受益人和信托单位</w:t>
        </w:r>
        <w:r>
          <w:tab/>
        </w:r>
        <w:r>
          <w:fldChar w:fldCharType="begin"/>
        </w:r>
        <w:r>
          <w:instrText xml:space="preserve"> PAGEREF _Toc91143605 \h </w:instrText>
        </w:r>
        <w:r>
          <w:fldChar w:fldCharType="separate"/>
        </w:r>
        <w:r>
          <w:t>12</w:t>
        </w:r>
        <w:r>
          <w:fldChar w:fldCharType="end"/>
        </w:r>
      </w:hyperlink>
    </w:p>
    <w:p w:rsidR="00066166" w:rsidRDefault="00F62BD0">
      <w:pPr>
        <w:pStyle w:val="10"/>
        <w:rPr>
          <w:rFonts w:asciiTheme="minorHAnsi" w:eastAsiaTheme="minorEastAsia" w:hAnsiTheme="minorHAnsi" w:cstheme="minorBidi"/>
          <w:sz w:val="21"/>
          <w:szCs w:val="22"/>
        </w:rPr>
      </w:pPr>
      <w:hyperlink w:anchor="_Toc91143606" w:history="1">
        <w:r>
          <w:rPr>
            <w:rStyle w:val="af2"/>
          </w:rPr>
          <w:t>第六条</w:t>
        </w:r>
        <w:r>
          <w:rPr>
            <w:rFonts w:asciiTheme="minorHAnsi" w:eastAsiaTheme="minorEastAsia" w:hAnsiTheme="minorHAnsi" w:cstheme="minorBidi"/>
            <w:sz w:val="21"/>
            <w:szCs w:val="22"/>
          </w:rPr>
          <w:tab/>
        </w:r>
        <w:r>
          <w:rPr>
            <w:rStyle w:val="af2"/>
          </w:rPr>
          <w:t>信托单位的认购（申购）</w:t>
        </w:r>
        <w:r>
          <w:tab/>
        </w:r>
        <w:r>
          <w:fldChar w:fldCharType="begin"/>
        </w:r>
        <w:r>
          <w:instrText xml:space="preserve"> PAGEREF _Toc91143606 \h </w:instrText>
        </w:r>
        <w:r>
          <w:fldChar w:fldCharType="separate"/>
        </w:r>
        <w:r>
          <w:t>13</w:t>
        </w:r>
        <w:r>
          <w:fldChar w:fldCharType="end"/>
        </w:r>
      </w:hyperlink>
    </w:p>
    <w:p w:rsidR="00066166" w:rsidRDefault="00F62BD0">
      <w:pPr>
        <w:pStyle w:val="10"/>
        <w:rPr>
          <w:rFonts w:asciiTheme="minorHAnsi" w:eastAsiaTheme="minorEastAsia" w:hAnsiTheme="minorHAnsi" w:cstheme="minorBidi"/>
          <w:sz w:val="21"/>
          <w:szCs w:val="22"/>
        </w:rPr>
      </w:pPr>
      <w:hyperlink w:anchor="_Toc91143607" w:history="1">
        <w:r>
          <w:rPr>
            <w:rStyle w:val="af2"/>
          </w:rPr>
          <w:t>第七条</w:t>
        </w:r>
        <w:r>
          <w:rPr>
            <w:rFonts w:asciiTheme="minorHAnsi" w:eastAsiaTheme="minorEastAsia" w:hAnsiTheme="minorHAnsi" w:cstheme="minorBidi"/>
            <w:sz w:val="21"/>
            <w:szCs w:val="22"/>
          </w:rPr>
          <w:tab/>
        </w:r>
        <w:r>
          <w:rPr>
            <w:rStyle w:val="af2"/>
          </w:rPr>
          <w:t>信托单位的赎回</w:t>
        </w:r>
        <w:r>
          <w:tab/>
        </w:r>
        <w:r>
          <w:fldChar w:fldCharType="begin"/>
        </w:r>
        <w:r>
          <w:instrText xml:space="preserve"> PAGEREF _Toc91143607 \h </w:instrText>
        </w:r>
        <w:r>
          <w:fldChar w:fldCharType="separate"/>
        </w:r>
        <w:r>
          <w:t>19</w:t>
        </w:r>
        <w:r>
          <w:fldChar w:fldCharType="end"/>
        </w:r>
      </w:hyperlink>
    </w:p>
    <w:p w:rsidR="00066166" w:rsidRDefault="00F62BD0">
      <w:pPr>
        <w:pStyle w:val="10"/>
        <w:rPr>
          <w:rFonts w:asciiTheme="minorHAnsi" w:eastAsiaTheme="minorEastAsia" w:hAnsiTheme="minorHAnsi" w:cstheme="minorBidi"/>
          <w:sz w:val="21"/>
          <w:szCs w:val="22"/>
        </w:rPr>
      </w:pPr>
      <w:hyperlink w:anchor="_Toc91143608" w:history="1">
        <w:r>
          <w:rPr>
            <w:rStyle w:val="af2"/>
          </w:rPr>
          <w:t>第八条</w:t>
        </w:r>
        <w:r>
          <w:rPr>
            <w:rFonts w:asciiTheme="minorHAnsi" w:eastAsiaTheme="minorEastAsia" w:hAnsiTheme="minorHAnsi" w:cstheme="minorBidi"/>
            <w:sz w:val="21"/>
            <w:szCs w:val="22"/>
          </w:rPr>
          <w:tab/>
        </w:r>
        <w:r>
          <w:rPr>
            <w:rStyle w:val="af2"/>
          </w:rPr>
          <w:t>信托财产的管理、运用和处分</w:t>
        </w:r>
        <w:r>
          <w:tab/>
        </w:r>
        <w:r>
          <w:fldChar w:fldCharType="begin"/>
        </w:r>
        <w:r>
          <w:instrText xml:space="preserve"> PAGEREF _Toc91143608 \h </w:instrText>
        </w:r>
        <w:r>
          <w:fldChar w:fldCharType="separate"/>
        </w:r>
        <w:r>
          <w:t>23</w:t>
        </w:r>
        <w:r>
          <w:fldChar w:fldCharType="end"/>
        </w:r>
      </w:hyperlink>
    </w:p>
    <w:p w:rsidR="00066166" w:rsidRDefault="00F62BD0">
      <w:pPr>
        <w:pStyle w:val="10"/>
        <w:rPr>
          <w:rFonts w:asciiTheme="minorHAnsi" w:eastAsiaTheme="minorEastAsia" w:hAnsiTheme="minorHAnsi" w:cstheme="minorBidi"/>
          <w:sz w:val="21"/>
          <w:szCs w:val="22"/>
        </w:rPr>
      </w:pPr>
      <w:hyperlink w:anchor="_Toc91143609" w:history="1">
        <w:r>
          <w:rPr>
            <w:rStyle w:val="af2"/>
          </w:rPr>
          <w:t>第九条</w:t>
        </w:r>
        <w:r>
          <w:rPr>
            <w:rFonts w:asciiTheme="minorHAnsi" w:eastAsiaTheme="minorEastAsia" w:hAnsiTheme="minorHAnsi" w:cstheme="minorBidi"/>
            <w:sz w:val="21"/>
            <w:szCs w:val="22"/>
          </w:rPr>
          <w:tab/>
        </w:r>
        <w:r>
          <w:rPr>
            <w:rStyle w:val="af2"/>
          </w:rPr>
          <w:t>信托财产的估值</w:t>
        </w:r>
        <w:r>
          <w:tab/>
        </w:r>
        <w:r>
          <w:fldChar w:fldCharType="begin"/>
        </w:r>
        <w:r>
          <w:instrText xml:space="preserve"> PAGEREF _Toc91143609 \h </w:instrText>
        </w:r>
        <w:r>
          <w:fldChar w:fldCharType="separate"/>
        </w:r>
        <w:r>
          <w:t>29</w:t>
        </w:r>
        <w:r>
          <w:fldChar w:fldCharType="end"/>
        </w:r>
      </w:hyperlink>
    </w:p>
    <w:p w:rsidR="00066166" w:rsidRDefault="00F62BD0">
      <w:pPr>
        <w:pStyle w:val="10"/>
        <w:rPr>
          <w:rFonts w:asciiTheme="minorHAnsi" w:eastAsiaTheme="minorEastAsia" w:hAnsiTheme="minorHAnsi" w:cstheme="minorBidi"/>
          <w:sz w:val="21"/>
          <w:szCs w:val="22"/>
        </w:rPr>
      </w:pPr>
      <w:hyperlink w:anchor="_Toc91143610" w:history="1">
        <w:r>
          <w:rPr>
            <w:rStyle w:val="af2"/>
          </w:rPr>
          <w:t>第十条</w:t>
        </w:r>
        <w:r>
          <w:rPr>
            <w:rFonts w:asciiTheme="minorHAnsi" w:eastAsiaTheme="minorEastAsia" w:hAnsiTheme="minorHAnsi" w:cstheme="minorBidi"/>
            <w:sz w:val="21"/>
            <w:szCs w:val="22"/>
          </w:rPr>
          <w:tab/>
        </w:r>
        <w:r>
          <w:rPr>
            <w:rStyle w:val="af2"/>
          </w:rPr>
          <w:t>信托利益的核算和分配</w:t>
        </w:r>
        <w:r>
          <w:tab/>
        </w:r>
        <w:r>
          <w:fldChar w:fldCharType="begin"/>
        </w:r>
        <w:r>
          <w:instrText xml:space="preserve"> PAGEREF _Toc91143610 \h </w:instrText>
        </w:r>
        <w:r>
          <w:fldChar w:fldCharType="separate"/>
        </w:r>
        <w:r>
          <w:t>31</w:t>
        </w:r>
        <w:r>
          <w:fldChar w:fldCharType="end"/>
        </w:r>
      </w:hyperlink>
    </w:p>
    <w:p w:rsidR="00066166" w:rsidRDefault="00F62BD0">
      <w:pPr>
        <w:pStyle w:val="10"/>
        <w:rPr>
          <w:rFonts w:asciiTheme="minorHAnsi" w:eastAsiaTheme="minorEastAsia" w:hAnsiTheme="minorHAnsi" w:cstheme="minorBidi"/>
          <w:sz w:val="21"/>
          <w:szCs w:val="22"/>
        </w:rPr>
      </w:pPr>
      <w:hyperlink w:anchor="_Toc91143611" w:history="1">
        <w:r>
          <w:rPr>
            <w:rStyle w:val="af2"/>
          </w:rPr>
          <w:t>第十一条</w:t>
        </w:r>
        <w:r>
          <w:rPr>
            <w:rFonts w:asciiTheme="minorHAnsi" w:eastAsiaTheme="minorEastAsia" w:hAnsiTheme="minorHAnsi" w:cstheme="minorBidi"/>
            <w:sz w:val="21"/>
            <w:szCs w:val="22"/>
          </w:rPr>
          <w:tab/>
        </w:r>
        <w:r>
          <w:rPr>
            <w:rStyle w:val="af2"/>
          </w:rPr>
          <w:t>信托费用、信托受托管理费和税收的计提和收取</w:t>
        </w:r>
        <w:r>
          <w:tab/>
        </w:r>
        <w:r>
          <w:fldChar w:fldCharType="begin"/>
        </w:r>
        <w:r>
          <w:instrText xml:space="preserve"> PAGEREF _Toc91143611 \h </w:instrText>
        </w:r>
        <w:r>
          <w:fldChar w:fldCharType="separate"/>
        </w:r>
        <w:r>
          <w:t>33</w:t>
        </w:r>
        <w:r>
          <w:fldChar w:fldCharType="end"/>
        </w:r>
      </w:hyperlink>
    </w:p>
    <w:p w:rsidR="00066166" w:rsidRDefault="00F62BD0">
      <w:pPr>
        <w:pStyle w:val="10"/>
        <w:rPr>
          <w:rFonts w:asciiTheme="minorHAnsi" w:eastAsiaTheme="minorEastAsia" w:hAnsiTheme="minorHAnsi" w:cstheme="minorBidi"/>
          <w:sz w:val="21"/>
          <w:szCs w:val="22"/>
        </w:rPr>
      </w:pPr>
      <w:hyperlink w:anchor="_Toc91143612" w:history="1">
        <w:r>
          <w:rPr>
            <w:rStyle w:val="af2"/>
          </w:rPr>
          <w:t>第十二条</w:t>
        </w:r>
        <w:r>
          <w:rPr>
            <w:rFonts w:asciiTheme="minorHAnsi" w:eastAsiaTheme="minorEastAsia" w:hAnsiTheme="minorHAnsi" w:cstheme="minorBidi"/>
            <w:sz w:val="21"/>
            <w:szCs w:val="22"/>
          </w:rPr>
          <w:tab/>
        </w:r>
        <w:r>
          <w:rPr>
            <w:rStyle w:val="af2"/>
          </w:rPr>
          <w:t>信托计划的终止和信托计划终止后信托财产的归属</w:t>
        </w:r>
        <w:r>
          <w:tab/>
        </w:r>
        <w:r>
          <w:fldChar w:fldCharType="begin"/>
        </w:r>
        <w:r>
          <w:instrText xml:space="preserve"> PAGEREF _Toc91143612 \h </w:instrText>
        </w:r>
        <w:r>
          <w:fldChar w:fldCharType="separate"/>
        </w:r>
        <w:r>
          <w:t>38</w:t>
        </w:r>
        <w:r>
          <w:fldChar w:fldCharType="end"/>
        </w:r>
      </w:hyperlink>
    </w:p>
    <w:p w:rsidR="00066166" w:rsidRDefault="00F62BD0">
      <w:pPr>
        <w:pStyle w:val="10"/>
        <w:rPr>
          <w:rFonts w:asciiTheme="minorHAnsi" w:eastAsiaTheme="minorEastAsia" w:hAnsiTheme="minorHAnsi" w:cstheme="minorBidi"/>
          <w:sz w:val="21"/>
          <w:szCs w:val="22"/>
        </w:rPr>
      </w:pPr>
      <w:hyperlink w:anchor="_Toc91143613" w:history="1">
        <w:r>
          <w:rPr>
            <w:rStyle w:val="af2"/>
          </w:rPr>
          <w:t>第十三条</w:t>
        </w:r>
        <w:r>
          <w:rPr>
            <w:rFonts w:asciiTheme="minorHAnsi" w:eastAsiaTheme="minorEastAsia" w:hAnsiTheme="minorHAnsi" w:cstheme="minorBidi"/>
            <w:sz w:val="21"/>
            <w:szCs w:val="22"/>
          </w:rPr>
          <w:tab/>
        </w:r>
        <w:r>
          <w:rPr>
            <w:rStyle w:val="af2"/>
          </w:rPr>
          <w:t>委托人的陈述和保证</w:t>
        </w:r>
        <w:r>
          <w:tab/>
        </w:r>
        <w:r>
          <w:fldChar w:fldCharType="begin"/>
        </w:r>
        <w:r>
          <w:instrText xml:space="preserve"> PAGEREF _Toc91143613 \h </w:instrText>
        </w:r>
        <w:r>
          <w:fldChar w:fldCharType="separate"/>
        </w:r>
        <w:r>
          <w:t>39</w:t>
        </w:r>
        <w:r>
          <w:fldChar w:fldCharType="end"/>
        </w:r>
      </w:hyperlink>
    </w:p>
    <w:p w:rsidR="00066166" w:rsidRDefault="00F62BD0">
      <w:pPr>
        <w:pStyle w:val="10"/>
        <w:rPr>
          <w:rFonts w:asciiTheme="minorHAnsi" w:eastAsiaTheme="minorEastAsia" w:hAnsiTheme="minorHAnsi" w:cstheme="minorBidi"/>
          <w:sz w:val="21"/>
          <w:szCs w:val="22"/>
        </w:rPr>
      </w:pPr>
      <w:hyperlink w:anchor="_Toc91143614" w:history="1">
        <w:r>
          <w:rPr>
            <w:rStyle w:val="af2"/>
          </w:rPr>
          <w:t>第十四条</w:t>
        </w:r>
        <w:r>
          <w:rPr>
            <w:rFonts w:asciiTheme="minorHAnsi" w:eastAsiaTheme="minorEastAsia" w:hAnsiTheme="minorHAnsi" w:cstheme="minorBidi"/>
            <w:sz w:val="21"/>
            <w:szCs w:val="22"/>
          </w:rPr>
          <w:tab/>
        </w:r>
        <w:r>
          <w:rPr>
            <w:rStyle w:val="af2"/>
          </w:rPr>
          <w:t>受托人的陈述和保证</w:t>
        </w:r>
        <w:r>
          <w:tab/>
        </w:r>
        <w:r>
          <w:fldChar w:fldCharType="begin"/>
        </w:r>
        <w:r>
          <w:instrText xml:space="preserve"> PAGEREF _Toc91143614 \h </w:instrText>
        </w:r>
        <w:r>
          <w:fldChar w:fldCharType="separate"/>
        </w:r>
        <w:r>
          <w:t>41</w:t>
        </w:r>
        <w:r>
          <w:fldChar w:fldCharType="end"/>
        </w:r>
      </w:hyperlink>
    </w:p>
    <w:p w:rsidR="00066166" w:rsidRDefault="00F62BD0">
      <w:pPr>
        <w:pStyle w:val="10"/>
        <w:rPr>
          <w:rFonts w:asciiTheme="minorHAnsi" w:eastAsiaTheme="minorEastAsia" w:hAnsiTheme="minorHAnsi" w:cstheme="minorBidi"/>
          <w:sz w:val="21"/>
          <w:szCs w:val="22"/>
        </w:rPr>
      </w:pPr>
      <w:hyperlink w:anchor="_Toc91143615" w:history="1">
        <w:r>
          <w:rPr>
            <w:rStyle w:val="af2"/>
          </w:rPr>
          <w:t>第十五条</w:t>
        </w:r>
        <w:r>
          <w:rPr>
            <w:rFonts w:asciiTheme="minorHAnsi" w:eastAsiaTheme="minorEastAsia" w:hAnsiTheme="minorHAnsi" w:cstheme="minorBidi"/>
            <w:sz w:val="21"/>
            <w:szCs w:val="22"/>
          </w:rPr>
          <w:tab/>
        </w:r>
        <w:r>
          <w:rPr>
            <w:rStyle w:val="af2"/>
          </w:rPr>
          <w:t>委托人的权利和义务</w:t>
        </w:r>
        <w:r>
          <w:tab/>
        </w:r>
        <w:r>
          <w:fldChar w:fldCharType="begin"/>
        </w:r>
        <w:r>
          <w:instrText xml:space="preserve"> PAGEREF _Toc91143615 \h </w:instrText>
        </w:r>
        <w:r>
          <w:fldChar w:fldCharType="separate"/>
        </w:r>
        <w:r>
          <w:t>42</w:t>
        </w:r>
        <w:r>
          <w:fldChar w:fldCharType="end"/>
        </w:r>
      </w:hyperlink>
    </w:p>
    <w:p w:rsidR="00066166" w:rsidRDefault="00F62BD0">
      <w:pPr>
        <w:pStyle w:val="10"/>
        <w:rPr>
          <w:rFonts w:asciiTheme="minorHAnsi" w:eastAsiaTheme="minorEastAsia" w:hAnsiTheme="minorHAnsi" w:cstheme="minorBidi"/>
          <w:sz w:val="21"/>
          <w:szCs w:val="22"/>
        </w:rPr>
      </w:pPr>
      <w:hyperlink w:anchor="_Toc91143616" w:history="1">
        <w:r>
          <w:rPr>
            <w:rStyle w:val="af2"/>
          </w:rPr>
          <w:t>第十六条</w:t>
        </w:r>
        <w:r>
          <w:rPr>
            <w:rFonts w:asciiTheme="minorHAnsi" w:eastAsiaTheme="minorEastAsia" w:hAnsiTheme="minorHAnsi" w:cstheme="minorBidi"/>
            <w:sz w:val="21"/>
            <w:szCs w:val="22"/>
          </w:rPr>
          <w:tab/>
        </w:r>
        <w:r>
          <w:rPr>
            <w:rStyle w:val="af2"/>
          </w:rPr>
          <w:t>受益人的权利和义务</w:t>
        </w:r>
        <w:r>
          <w:tab/>
        </w:r>
        <w:r>
          <w:fldChar w:fldCharType="begin"/>
        </w:r>
        <w:r>
          <w:instrText xml:space="preserve"> PAGEREF _Toc91143616 \h </w:instrText>
        </w:r>
        <w:r>
          <w:fldChar w:fldCharType="separate"/>
        </w:r>
        <w:r>
          <w:t>43</w:t>
        </w:r>
        <w:r>
          <w:fldChar w:fldCharType="end"/>
        </w:r>
      </w:hyperlink>
    </w:p>
    <w:p w:rsidR="00066166" w:rsidRDefault="00F62BD0">
      <w:pPr>
        <w:pStyle w:val="10"/>
        <w:rPr>
          <w:rFonts w:asciiTheme="minorHAnsi" w:eastAsiaTheme="minorEastAsia" w:hAnsiTheme="minorHAnsi" w:cstheme="minorBidi"/>
          <w:sz w:val="21"/>
          <w:szCs w:val="22"/>
        </w:rPr>
      </w:pPr>
      <w:hyperlink w:anchor="_Toc91143617" w:history="1">
        <w:r>
          <w:rPr>
            <w:rStyle w:val="af2"/>
          </w:rPr>
          <w:t>第十七条</w:t>
        </w:r>
        <w:r>
          <w:rPr>
            <w:rFonts w:asciiTheme="minorHAnsi" w:eastAsiaTheme="minorEastAsia" w:hAnsiTheme="minorHAnsi" w:cstheme="minorBidi"/>
            <w:sz w:val="21"/>
            <w:szCs w:val="22"/>
          </w:rPr>
          <w:tab/>
        </w:r>
        <w:r>
          <w:rPr>
            <w:rStyle w:val="af2"/>
          </w:rPr>
          <w:t>受托人的权利和义务</w:t>
        </w:r>
        <w:r>
          <w:tab/>
        </w:r>
        <w:r>
          <w:fldChar w:fldCharType="begin"/>
        </w:r>
        <w:r>
          <w:instrText xml:space="preserve"> PAGEREF _Toc91143617 \h </w:instrText>
        </w:r>
        <w:r>
          <w:fldChar w:fldCharType="separate"/>
        </w:r>
        <w:r>
          <w:t>45</w:t>
        </w:r>
        <w:r>
          <w:fldChar w:fldCharType="end"/>
        </w:r>
      </w:hyperlink>
    </w:p>
    <w:p w:rsidR="00066166" w:rsidRDefault="00F62BD0">
      <w:pPr>
        <w:pStyle w:val="10"/>
        <w:rPr>
          <w:rFonts w:asciiTheme="minorHAnsi" w:eastAsiaTheme="minorEastAsia" w:hAnsiTheme="minorHAnsi" w:cstheme="minorBidi"/>
          <w:sz w:val="21"/>
          <w:szCs w:val="22"/>
        </w:rPr>
      </w:pPr>
      <w:hyperlink w:anchor="_Toc91143618" w:history="1">
        <w:r>
          <w:rPr>
            <w:rStyle w:val="af2"/>
          </w:rPr>
          <w:t>第十八条</w:t>
        </w:r>
        <w:r>
          <w:rPr>
            <w:rFonts w:asciiTheme="minorHAnsi" w:eastAsiaTheme="minorEastAsia" w:hAnsiTheme="minorHAnsi" w:cstheme="minorBidi"/>
            <w:sz w:val="21"/>
            <w:szCs w:val="22"/>
          </w:rPr>
          <w:tab/>
        </w:r>
        <w:r>
          <w:rPr>
            <w:rStyle w:val="af2"/>
          </w:rPr>
          <w:t>信息披露</w:t>
        </w:r>
        <w:r>
          <w:tab/>
        </w:r>
        <w:r>
          <w:fldChar w:fldCharType="begin"/>
        </w:r>
        <w:r>
          <w:instrText xml:space="preserve"> PAGEREF _Toc91143618 \h </w:instrText>
        </w:r>
        <w:r>
          <w:fldChar w:fldCharType="separate"/>
        </w:r>
        <w:r>
          <w:t>47</w:t>
        </w:r>
        <w:r>
          <w:fldChar w:fldCharType="end"/>
        </w:r>
      </w:hyperlink>
    </w:p>
    <w:p w:rsidR="00066166" w:rsidRDefault="00F62BD0">
      <w:pPr>
        <w:pStyle w:val="10"/>
        <w:rPr>
          <w:rFonts w:asciiTheme="minorHAnsi" w:eastAsiaTheme="minorEastAsia" w:hAnsiTheme="minorHAnsi" w:cstheme="minorBidi"/>
          <w:sz w:val="21"/>
          <w:szCs w:val="22"/>
        </w:rPr>
      </w:pPr>
      <w:hyperlink w:anchor="_Toc91143619" w:history="1">
        <w:r>
          <w:rPr>
            <w:rStyle w:val="af2"/>
          </w:rPr>
          <w:t>第十九条</w:t>
        </w:r>
        <w:r>
          <w:rPr>
            <w:rFonts w:asciiTheme="minorHAnsi" w:eastAsiaTheme="minorEastAsia" w:hAnsiTheme="minorHAnsi" w:cstheme="minorBidi"/>
            <w:sz w:val="21"/>
            <w:szCs w:val="22"/>
          </w:rPr>
          <w:tab/>
        </w:r>
        <w:r>
          <w:rPr>
            <w:rStyle w:val="af2"/>
          </w:rPr>
          <w:t>受益人大会</w:t>
        </w:r>
        <w:r>
          <w:tab/>
        </w:r>
        <w:r>
          <w:fldChar w:fldCharType="begin"/>
        </w:r>
        <w:r>
          <w:instrText xml:space="preserve"> PAGEREF _Toc91143619 \h </w:instrText>
        </w:r>
        <w:r>
          <w:fldChar w:fldCharType="separate"/>
        </w:r>
        <w:r>
          <w:t>49</w:t>
        </w:r>
        <w:r>
          <w:fldChar w:fldCharType="end"/>
        </w:r>
      </w:hyperlink>
    </w:p>
    <w:p w:rsidR="00066166" w:rsidRDefault="00F62BD0">
      <w:pPr>
        <w:pStyle w:val="10"/>
        <w:rPr>
          <w:rFonts w:asciiTheme="minorHAnsi" w:eastAsiaTheme="minorEastAsia" w:hAnsiTheme="minorHAnsi" w:cstheme="minorBidi"/>
          <w:sz w:val="21"/>
          <w:szCs w:val="22"/>
        </w:rPr>
      </w:pPr>
      <w:hyperlink w:anchor="_Toc91143620" w:history="1">
        <w:r>
          <w:rPr>
            <w:rStyle w:val="af2"/>
          </w:rPr>
          <w:t>第二十条</w:t>
        </w:r>
        <w:r>
          <w:rPr>
            <w:rFonts w:asciiTheme="minorHAnsi" w:eastAsiaTheme="minorEastAsia" w:hAnsiTheme="minorHAnsi" w:cstheme="minorBidi"/>
            <w:sz w:val="21"/>
            <w:szCs w:val="22"/>
          </w:rPr>
          <w:tab/>
        </w:r>
        <w:r>
          <w:rPr>
            <w:rStyle w:val="af2"/>
          </w:rPr>
          <w:t>受托人的解任和辞任</w:t>
        </w:r>
        <w:r>
          <w:tab/>
        </w:r>
        <w:r>
          <w:fldChar w:fldCharType="begin"/>
        </w:r>
        <w:r>
          <w:instrText xml:space="preserve"> PAGEREF _Toc91143620 \h </w:instrText>
        </w:r>
        <w:r>
          <w:fldChar w:fldCharType="separate"/>
        </w:r>
        <w:r>
          <w:t>53</w:t>
        </w:r>
        <w:r>
          <w:fldChar w:fldCharType="end"/>
        </w:r>
      </w:hyperlink>
    </w:p>
    <w:p w:rsidR="00066166" w:rsidRDefault="00F62BD0">
      <w:pPr>
        <w:pStyle w:val="10"/>
        <w:rPr>
          <w:rFonts w:asciiTheme="minorHAnsi" w:eastAsiaTheme="minorEastAsia" w:hAnsiTheme="minorHAnsi" w:cstheme="minorBidi"/>
          <w:sz w:val="21"/>
          <w:szCs w:val="22"/>
        </w:rPr>
      </w:pPr>
      <w:hyperlink w:anchor="_Toc91143621" w:history="1">
        <w:r>
          <w:rPr>
            <w:rStyle w:val="af2"/>
          </w:rPr>
          <w:t>第二十一条</w:t>
        </w:r>
        <w:r>
          <w:rPr>
            <w:rFonts w:asciiTheme="minorHAnsi" w:eastAsiaTheme="minorEastAsia" w:hAnsiTheme="minorHAnsi" w:cstheme="minorBidi"/>
            <w:sz w:val="21"/>
            <w:szCs w:val="22"/>
          </w:rPr>
          <w:tab/>
        </w:r>
        <w:r>
          <w:rPr>
            <w:rStyle w:val="af2"/>
          </w:rPr>
          <w:t>风险揭示与承担</w:t>
        </w:r>
        <w:r>
          <w:tab/>
        </w:r>
        <w:r>
          <w:fldChar w:fldCharType="begin"/>
        </w:r>
        <w:r>
          <w:instrText xml:space="preserve"> PAGEREF _Toc91143621 \h </w:instrText>
        </w:r>
        <w:r>
          <w:fldChar w:fldCharType="separate"/>
        </w:r>
        <w:r>
          <w:t>54</w:t>
        </w:r>
        <w:r>
          <w:fldChar w:fldCharType="end"/>
        </w:r>
      </w:hyperlink>
    </w:p>
    <w:p w:rsidR="00066166" w:rsidRDefault="00F62BD0">
      <w:pPr>
        <w:pStyle w:val="10"/>
        <w:rPr>
          <w:rFonts w:asciiTheme="minorHAnsi" w:eastAsiaTheme="minorEastAsia" w:hAnsiTheme="minorHAnsi" w:cstheme="minorBidi"/>
          <w:sz w:val="21"/>
          <w:szCs w:val="22"/>
        </w:rPr>
      </w:pPr>
      <w:hyperlink w:anchor="_Toc91143622" w:history="1">
        <w:r>
          <w:rPr>
            <w:rStyle w:val="af2"/>
          </w:rPr>
          <w:t>第二十二条</w:t>
        </w:r>
        <w:r>
          <w:rPr>
            <w:rFonts w:asciiTheme="minorHAnsi" w:eastAsiaTheme="minorEastAsia" w:hAnsiTheme="minorHAnsi" w:cstheme="minorBidi"/>
            <w:sz w:val="21"/>
            <w:szCs w:val="22"/>
          </w:rPr>
          <w:tab/>
        </w:r>
        <w:r>
          <w:rPr>
            <w:rStyle w:val="af2"/>
          </w:rPr>
          <w:t>违约责任</w:t>
        </w:r>
        <w:r>
          <w:tab/>
        </w:r>
        <w:r>
          <w:fldChar w:fldCharType="begin"/>
        </w:r>
        <w:r>
          <w:instrText xml:space="preserve"> PAGEREF _Toc91143622 \h </w:instrText>
        </w:r>
        <w:r>
          <w:fldChar w:fldCharType="separate"/>
        </w:r>
        <w:r>
          <w:t>55</w:t>
        </w:r>
        <w:r>
          <w:fldChar w:fldCharType="end"/>
        </w:r>
      </w:hyperlink>
    </w:p>
    <w:p w:rsidR="00066166" w:rsidRDefault="00F62BD0">
      <w:pPr>
        <w:pStyle w:val="10"/>
        <w:rPr>
          <w:rFonts w:asciiTheme="minorHAnsi" w:eastAsiaTheme="minorEastAsia" w:hAnsiTheme="minorHAnsi" w:cstheme="minorBidi"/>
          <w:sz w:val="21"/>
          <w:szCs w:val="22"/>
        </w:rPr>
      </w:pPr>
      <w:hyperlink w:anchor="_Toc91143623" w:history="1">
        <w:r>
          <w:rPr>
            <w:rStyle w:val="af2"/>
          </w:rPr>
          <w:t>第二十三条</w:t>
        </w:r>
        <w:r>
          <w:rPr>
            <w:rFonts w:asciiTheme="minorHAnsi" w:eastAsiaTheme="minorEastAsia" w:hAnsiTheme="minorHAnsi" w:cstheme="minorBidi"/>
            <w:sz w:val="21"/>
            <w:szCs w:val="22"/>
          </w:rPr>
          <w:tab/>
        </w:r>
        <w:r>
          <w:rPr>
            <w:rStyle w:val="af2"/>
          </w:rPr>
          <w:t>保密义务</w:t>
        </w:r>
        <w:r>
          <w:tab/>
        </w:r>
        <w:r>
          <w:fldChar w:fldCharType="begin"/>
        </w:r>
        <w:r>
          <w:instrText xml:space="preserve"> PAGEREF _Toc91143623 \h </w:instrText>
        </w:r>
        <w:r>
          <w:fldChar w:fldCharType="separate"/>
        </w:r>
        <w:r>
          <w:t>56</w:t>
        </w:r>
        <w:r>
          <w:fldChar w:fldCharType="end"/>
        </w:r>
      </w:hyperlink>
    </w:p>
    <w:p w:rsidR="00066166" w:rsidRDefault="00F62BD0">
      <w:pPr>
        <w:pStyle w:val="10"/>
        <w:rPr>
          <w:rFonts w:asciiTheme="minorHAnsi" w:eastAsiaTheme="minorEastAsia" w:hAnsiTheme="minorHAnsi" w:cstheme="minorBidi"/>
          <w:sz w:val="21"/>
          <w:szCs w:val="22"/>
        </w:rPr>
      </w:pPr>
      <w:hyperlink w:anchor="_Toc91143624" w:history="1">
        <w:r>
          <w:rPr>
            <w:rStyle w:val="af2"/>
          </w:rPr>
          <w:t>第二十四条</w:t>
        </w:r>
        <w:r>
          <w:rPr>
            <w:rFonts w:asciiTheme="minorHAnsi" w:eastAsiaTheme="minorEastAsia" w:hAnsiTheme="minorHAnsi" w:cstheme="minorBidi"/>
            <w:sz w:val="21"/>
            <w:szCs w:val="22"/>
          </w:rPr>
          <w:tab/>
        </w:r>
        <w:r>
          <w:rPr>
            <w:rStyle w:val="af2"/>
          </w:rPr>
          <w:t>法律适用和争议解决</w:t>
        </w:r>
        <w:r>
          <w:tab/>
        </w:r>
        <w:r>
          <w:fldChar w:fldCharType="begin"/>
        </w:r>
        <w:r>
          <w:instrText xml:space="preserve"> PAGEREF _Toc91143624 \h </w:instrText>
        </w:r>
        <w:r>
          <w:fldChar w:fldCharType="separate"/>
        </w:r>
        <w:r>
          <w:t>56</w:t>
        </w:r>
        <w:r>
          <w:fldChar w:fldCharType="end"/>
        </w:r>
      </w:hyperlink>
    </w:p>
    <w:p w:rsidR="00066166" w:rsidRDefault="00F62BD0">
      <w:pPr>
        <w:pStyle w:val="10"/>
        <w:rPr>
          <w:rFonts w:asciiTheme="minorHAnsi" w:eastAsiaTheme="minorEastAsia" w:hAnsiTheme="minorHAnsi" w:cstheme="minorBidi"/>
          <w:sz w:val="21"/>
          <w:szCs w:val="22"/>
        </w:rPr>
      </w:pPr>
      <w:hyperlink w:anchor="_Toc91143625" w:history="1">
        <w:r>
          <w:rPr>
            <w:rStyle w:val="af2"/>
          </w:rPr>
          <w:t>第二十五条</w:t>
        </w:r>
        <w:r>
          <w:rPr>
            <w:rFonts w:asciiTheme="minorHAnsi" w:eastAsiaTheme="minorEastAsia" w:hAnsiTheme="minorHAnsi" w:cstheme="minorBidi"/>
            <w:sz w:val="21"/>
            <w:szCs w:val="22"/>
          </w:rPr>
          <w:tab/>
        </w:r>
        <w:r>
          <w:rPr>
            <w:rStyle w:val="af2"/>
          </w:rPr>
          <w:t>其他</w:t>
        </w:r>
        <w:r>
          <w:tab/>
        </w:r>
        <w:r>
          <w:fldChar w:fldCharType="begin"/>
        </w:r>
        <w:r>
          <w:instrText xml:space="preserve"> PAGEREF _Toc91143625 \h </w:instrText>
        </w:r>
        <w:r>
          <w:fldChar w:fldCharType="separate"/>
        </w:r>
        <w:r>
          <w:t>57</w:t>
        </w:r>
        <w:r>
          <w:fldChar w:fldCharType="end"/>
        </w:r>
      </w:hyperlink>
    </w:p>
    <w:p w:rsidR="00066166" w:rsidRDefault="00F62BD0">
      <w:pPr>
        <w:pStyle w:val="10"/>
        <w:rPr>
          <w:rFonts w:asciiTheme="minorHAnsi" w:eastAsiaTheme="minorEastAsia" w:hAnsiTheme="minorHAnsi" w:cstheme="minorBidi"/>
          <w:sz w:val="21"/>
          <w:szCs w:val="22"/>
        </w:rPr>
      </w:pPr>
      <w:hyperlink w:anchor="_Toc91143626" w:history="1">
        <w:r>
          <w:rPr>
            <w:rStyle w:val="af2"/>
          </w:rPr>
          <w:t>认购（申购）条款</w:t>
        </w:r>
        <w:r>
          <w:tab/>
        </w:r>
        <w:r>
          <w:fldChar w:fldCharType="begin"/>
        </w:r>
        <w:r>
          <w:instrText xml:space="preserve"> PAGEREF _Toc91143626 \h </w:instrText>
        </w:r>
        <w:r>
          <w:fldChar w:fldCharType="separate"/>
        </w:r>
        <w:r>
          <w:t>64</w:t>
        </w:r>
        <w:r>
          <w:fldChar w:fldCharType="end"/>
        </w:r>
      </w:hyperlink>
    </w:p>
    <w:p w:rsidR="00066166" w:rsidRDefault="00F62BD0">
      <w:pPr>
        <w:pStyle w:val="10"/>
        <w:rPr>
          <w:rFonts w:asciiTheme="minorHAnsi" w:eastAsiaTheme="minorEastAsia" w:hAnsiTheme="minorHAnsi" w:cstheme="minorBidi"/>
          <w:sz w:val="21"/>
          <w:szCs w:val="22"/>
        </w:rPr>
      </w:pPr>
      <w:hyperlink w:anchor="_Toc91143627" w:history="1">
        <w:r>
          <w:rPr>
            <w:rStyle w:val="af2"/>
            <w:b/>
          </w:rPr>
          <w:t>附件一：委托人调查问卷</w:t>
        </w:r>
        <w:r>
          <w:tab/>
        </w:r>
        <w:r>
          <w:fldChar w:fldCharType="begin"/>
        </w:r>
        <w:r>
          <w:instrText xml:space="preserve"> PAGEREF _Toc91143627 \h </w:instrText>
        </w:r>
        <w:r>
          <w:fldChar w:fldCharType="separate"/>
        </w:r>
        <w:r>
          <w:t>67</w:t>
        </w:r>
        <w:r>
          <w:fldChar w:fldCharType="end"/>
        </w:r>
      </w:hyperlink>
    </w:p>
    <w:p w:rsidR="00066166" w:rsidRDefault="00F62BD0">
      <w:pPr>
        <w:pStyle w:val="10"/>
        <w:rPr>
          <w:rFonts w:asciiTheme="minorHAnsi" w:eastAsiaTheme="minorEastAsia" w:hAnsiTheme="minorHAnsi" w:cstheme="minorBidi"/>
          <w:sz w:val="21"/>
          <w:szCs w:val="22"/>
        </w:rPr>
      </w:pPr>
      <w:hyperlink w:anchor="_Toc91143628" w:history="1">
        <w:r>
          <w:rPr>
            <w:rStyle w:val="af2"/>
            <w:b/>
          </w:rPr>
          <w:t>附件二：签约注意事项</w:t>
        </w:r>
        <w:r>
          <w:tab/>
        </w:r>
        <w:r>
          <w:fldChar w:fldCharType="begin"/>
        </w:r>
        <w:r>
          <w:instrText xml:space="preserve"> PAGEREF _T</w:instrText>
        </w:r>
        <w:r>
          <w:instrText xml:space="preserve">oc91143628 \h </w:instrText>
        </w:r>
        <w:r>
          <w:fldChar w:fldCharType="separate"/>
        </w:r>
        <w:r>
          <w:t>68</w:t>
        </w:r>
        <w:r>
          <w:fldChar w:fldCharType="end"/>
        </w:r>
      </w:hyperlink>
    </w:p>
    <w:p w:rsidR="00066166" w:rsidRDefault="00F62BD0">
      <w:pPr>
        <w:pStyle w:val="10"/>
        <w:rPr>
          <w:rFonts w:asciiTheme="minorHAnsi" w:eastAsiaTheme="minorEastAsia" w:hAnsiTheme="minorHAnsi" w:cstheme="minorBidi"/>
          <w:sz w:val="21"/>
          <w:szCs w:val="22"/>
        </w:rPr>
      </w:pPr>
      <w:hyperlink w:anchor="_Toc91143629" w:history="1">
        <w:r>
          <w:rPr>
            <w:rStyle w:val="af2"/>
            <w:b/>
          </w:rPr>
          <w:t>附件三：个人税收居民身份声明文件</w:t>
        </w:r>
        <w:r>
          <w:tab/>
        </w:r>
        <w:r>
          <w:fldChar w:fldCharType="begin"/>
        </w:r>
        <w:r>
          <w:instrText xml:space="preserve"> PAGEREF _Toc91143629 \h </w:instrText>
        </w:r>
        <w:r>
          <w:fldChar w:fldCharType="separate"/>
        </w:r>
        <w:r>
          <w:t>70</w:t>
        </w:r>
        <w:r>
          <w:fldChar w:fldCharType="end"/>
        </w:r>
      </w:hyperlink>
    </w:p>
    <w:p w:rsidR="00066166" w:rsidRDefault="00F62BD0">
      <w:pPr>
        <w:pStyle w:val="10"/>
        <w:rPr>
          <w:rFonts w:asciiTheme="minorHAnsi" w:eastAsiaTheme="minorEastAsia" w:hAnsiTheme="minorHAnsi" w:cstheme="minorBidi"/>
          <w:sz w:val="21"/>
          <w:szCs w:val="22"/>
        </w:rPr>
      </w:pPr>
      <w:hyperlink w:anchor="_Toc91143630" w:history="1">
        <w:r>
          <w:rPr>
            <w:rStyle w:val="af2"/>
            <w:b/>
          </w:rPr>
          <w:t>附件四：机构税收居民身份声明文件</w:t>
        </w:r>
        <w:r>
          <w:tab/>
        </w:r>
        <w:r>
          <w:fldChar w:fldCharType="begin"/>
        </w:r>
        <w:r>
          <w:instrText xml:space="preserve"> PAGEREF _Toc91143630 \h </w:instrText>
        </w:r>
        <w:r>
          <w:fldChar w:fldCharType="separate"/>
        </w:r>
        <w:r>
          <w:t>72</w:t>
        </w:r>
        <w:r>
          <w:fldChar w:fldCharType="end"/>
        </w:r>
      </w:hyperlink>
    </w:p>
    <w:p w:rsidR="00066166" w:rsidRDefault="00F62BD0">
      <w:pPr>
        <w:pStyle w:val="10"/>
        <w:rPr>
          <w:rFonts w:asciiTheme="minorHAnsi" w:eastAsiaTheme="minorEastAsia" w:hAnsiTheme="minorHAnsi" w:cstheme="minorBidi"/>
          <w:sz w:val="21"/>
          <w:szCs w:val="22"/>
        </w:rPr>
      </w:pPr>
      <w:hyperlink w:anchor="_Toc91143631" w:history="1">
        <w:r>
          <w:rPr>
            <w:rStyle w:val="af2"/>
            <w:b/>
          </w:rPr>
          <w:t>附件五：控制人税收居民身份声明文件</w:t>
        </w:r>
        <w:r>
          <w:tab/>
        </w:r>
        <w:r>
          <w:fldChar w:fldCharType="begin"/>
        </w:r>
        <w:r>
          <w:instrText xml:space="preserve"> PAGEREF _Toc91143631 \h </w:instrText>
        </w:r>
        <w:r>
          <w:fldChar w:fldCharType="separate"/>
        </w:r>
        <w:r>
          <w:t>75</w:t>
        </w:r>
        <w:r>
          <w:fldChar w:fldCharType="end"/>
        </w:r>
      </w:hyperlink>
    </w:p>
    <w:p w:rsidR="00066166" w:rsidRDefault="00F62BD0">
      <w:pPr>
        <w:pStyle w:val="10"/>
        <w:rPr>
          <w:rFonts w:asciiTheme="minorHAnsi" w:eastAsiaTheme="minorEastAsia" w:hAnsiTheme="minorHAnsi" w:cstheme="minorBidi"/>
          <w:sz w:val="21"/>
          <w:szCs w:val="22"/>
        </w:rPr>
      </w:pPr>
      <w:hyperlink w:anchor="_Toc91143632" w:history="1">
        <w:r>
          <w:rPr>
            <w:rStyle w:val="af2"/>
            <w:b/>
            <w:bCs/>
          </w:rPr>
          <w:t>附件六：《申购申请表》（样本）</w:t>
        </w:r>
        <w:r>
          <w:tab/>
        </w:r>
        <w:r>
          <w:fldChar w:fldCharType="begin"/>
        </w:r>
        <w:r>
          <w:instrText xml:space="preserve"> PAGEREF _Toc91143632 \h </w:instrText>
        </w:r>
        <w:r>
          <w:fldChar w:fldCharType="separate"/>
        </w:r>
        <w:r>
          <w:t>77</w:t>
        </w:r>
        <w:r>
          <w:fldChar w:fldCharType="end"/>
        </w:r>
      </w:hyperlink>
    </w:p>
    <w:p w:rsidR="00066166" w:rsidRDefault="00F62BD0">
      <w:pPr>
        <w:pStyle w:val="10"/>
        <w:rPr>
          <w:rFonts w:asciiTheme="minorHAnsi" w:eastAsiaTheme="minorEastAsia" w:hAnsiTheme="minorHAnsi" w:cstheme="minorBidi"/>
          <w:sz w:val="21"/>
          <w:szCs w:val="22"/>
        </w:rPr>
      </w:pPr>
      <w:hyperlink w:anchor="_Toc91143633" w:history="1">
        <w:r>
          <w:rPr>
            <w:rStyle w:val="af2"/>
            <w:b/>
            <w:bCs/>
          </w:rPr>
          <w:t>附件七：《赎回申请表》（样本）</w:t>
        </w:r>
        <w:r>
          <w:tab/>
        </w:r>
        <w:r>
          <w:fldChar w:fldCharType="begin"/>
        </w:r>
        <w:r>
          <w:instrText xml:space="preserve"> PAGEREF _Toc91143633 \h </w:instrText>
        </w:r>
        <w:r>
          <w:fldChar w:fldCharType="separate"/>
        </w:r>
        <w:r>
          <w:t>80</w:t>
        </w:r>
        <w:r>
          <w:fldChar w:fldCharType="end"/>
        </w:r>
      </w:hyperlink>
    </w:p>
    <w:p w:rsidR="00066166" w:rsidRDefault="00F62BD0">
      <w:pPr>
        <w:pStyle w:val="10"/>
        <w:rPr>
          <w:rFonts w:asciiTheme="minorHAnsi" w:eastAsiaTheme="minorEastAsia" w:hAnsiTheme="minorHAnsi" w:cstheme="minorBidi"/>
          <w:sz w:val="21"/>
          <w:szCs w:val="22"/>
        </w:rPr>
      </w:pPr>
      <w:hyperlink w:anchor="_Toc91143634" w:history="1">
        <w:r>
          <w:rPr>
            <w:rStyle w:val="af2"/>
            <w:b/>
            <w:bCs/>
          </w:rPr>
          <w:t>附件八：标的资管产品的基本要素</w:t>
        </w:r>
        <w:r>
          <w:tab/>
        </w:r>
        <w:r>
          <w:fldChar w:fldCharType="begin"/>
        </w:r>
        <w:r>
          <w:instrText xml:space="preserve"> P</w:instrText>
        </w:r>
        <w:r>
          <w:instrText xml:space="preserve">AGEREF _Toc91143634 \h </w:instrText>
        </w:r>
        <w:r>
          <w:fldChar w:fldCharType="separate"/>
        </w:r>
        <w:r>
          <w:t>82</w:t>
        </w:r>
        <w:r>
          <w:fldChar w:fldCharType="end"/>
        </w:r>
      </w:hyperlink>
    </w:p>
    <w:p w:rsidR="00066166" w:rsidRDefault="00F62BD0">
      <w:pPr>
        <w:spacing w:beforeLines="100" w:before="312" w:afterLines="100" w:after="312" w:line="420" w:lineRule="exact"/>
        <w:jc w:val="center"/>
        <w:rPr>
          <w:rFonts w:eastAsia="仿宋_GB2312"/>
          <w:color w:val="000000" w:themeColor="text1"/>
          <w:sz w:val="24"/>
        </w:rPr>
        <w:sectPr w:rsidR="00066166">
          <w:headerReference w:type="default" r:id="rId12"/>
          <w:footerReference w:type="even" r:id="rId13"/>
          <w:footerReference w:type="default" r:id="rId14"/>
          <w:footerReference w:type="first" r:id="rId15"/>
          <w:pgSz w:w="11906" w:h="16838"/>
          <w:pgMar w:top="1440" w:right="1800" w:bottom="1440" w:left="1800" w:header="851" w:footer="992" w:gutter="0"/>
          <w:pgNumType w:fmt="numberInDash" w:start="0"/>
          <w:cols w:space="720"/>
          <w:titlePg/>
          <w:docGrid w:type="lines" w:linePitch="312"/>
        </w:sectPr>
      </w:pPr>
      <w:r>
        <w:rPr>
          <w:color w:val="000000" w:themeColor="text1"/>
          <w:sz w:val="24"/>
        </w:rPr>
        <w:fldChar w:fldCharType="end"/>
      </w:r>
    </w:p>
    <w:p w:rsidR="00066166" w:rsidRDefault="00F62BD0">
      <w:pPr>
        <w:spacing w:beforeLines="100" w:before="312" w:afterLines="100" w:after="312" w:line="400" w:lineRule="atLeast"/>
        <w:jc w:val="center"/>
        <w:rPr>
          <w:b/>
          <w:color w:val="000000" w:themeColor="text1"/>
          <w:sz w:val="30"/>
          <w:szCs w:val="30"/>
        </w:rPr>
      </w:pPr>
      <w:r>
        <w:rPr>
          <w:rFonts w:hint="eastAsia"/>
          <w:b/>
          <w:color w:val="000000" w:themeColor="text1"/>
          <w:sz w:val="30"/>
          <w:szCs w:val="30"/>
        </w:rPr>
        <w:lastRenderedPageBreak/>
        <w:t>五矿信托磐石系列</w:t>
      </w:r>
      <w:r>
        <w:rPr>
          <w:rFonts w:hint="eastAsia"/>
          <w:b/>
          <w:color w:val="000000" w:themeColor="text1"/>
          <w:sz w:val="30"/>
          <w:szCs w:val="30"/>
        </w:rPr>
        <w:t>-</w:t>
      </w:r>
      <w:r>
        <w:rPr>
          <w:rFonts w:hint="eastAsia"/>
          <w:b/>
          <w:color w:val="000000" w:themeColor="text1"/>
          <w:sz w:val="30"/>
          <w:szCs w:val="30"/>
        </w:rPr>
        <w:t>建盈稳冀</w:t>
      </w:r>
      <w:r>
        <w:rPr>
          <w:rFonts w:hint="eastAsia"/>
          <w:b/>
          <w:color w:val="000000" w:themeColor="text1"/>
          <w:sz w:val="30"/>
          <w:szCs w:val="30"/>
        </w:rPr>
        <w:t>2</w:t>
      </w:r>
      <w:r>
        <w:rPr>
          <w:rFonts w:hint="eastAsia"/>
          <w:b/>
          <w:color w:val="000000" w:themeColor="text1"/>
          <w:sz w:val="30"/>
          <w:szCs w:val="30"/>
        </w:rPr>
        <w:t>号</w:t>
      </w:r>
      <w:r>
        <w:rPr>
          <w:rFonts w:hint="eastAsia"/>
          <w:b/>
          <w:color w:val="000000" w:themeColor="text1"/>
          <w:sz w:val="30"/>
          <w:szCs w:val="30"/>
        </w:rPr>
        <w:t>集合资金信托计划</w:t>
      </w:r>
      <w:r>
        <w:rPr>
          <w:b/>
          <w:color w:val="000000" w:themeColor="text1"/>
          <w:sz w:val="30"/>
          <w:szCs w:val="30"/>
        </w:rPr>
        <w:br/>
      </w:r>
      <w:r>
        <w:rPr>
          <w:rFonts w:hint="eastAsia"/>
          <w:b/>
          <w:color w:val="000000" w:themeColor="text1"/>
          <w:sz w:val="30"/>
          <w:szCs w:val="30"/>
        </w:rPr>
        <w:t>信托合同</w:t>
      </w:r>
    </w:p>
    <w:p w:rsidR="00066166" w:rsidRDefault="00F62BD0">
      <w:pPr>
        <w:spacing w:beforeLines="100" w:before="312" w:afterLines="100" w:after="312" w:line="300" w:lineRule="auto"/>
        <w:ind w:firstLineChars="200" w:firstLine="480"/>
        <w:rPr>
          <w:bCs/>
          <w:color w:val="000000" w:themeColor="text1"/>
          <w:sz w:val="24"/>
        </w:rPr>
      </w:pPr>
      <w:r>
        <w:rPr>
          <w:bCs/>
          <w:color w:val="000000" w:themeColor="text1"/>
          <w:sz w:val="24"/>
        </w:rPr>
        <w:t>《</w:t>
      </w:r>
      <w:r>
        <w:rPr>
          <w:rFonts w:hint="eastAsia"/>
          <w:bCs/>
          <w:color w:val="000000" w:themeColor="text1"/>
          <w:sz w:val="24"/>
        </w:rPr>
        <w:t>五矿信托磐石系列</w:t>
      </w:r>
      <w:r>
        <w:rPr>
          <w:rFonts w:hint="eastAsia"/>
          <w:bCs/>
          <w:color w:val="000000" w:themeColor="text1"/>
          <w:sz w:val="24"/>
        </w:rPr>
        <w:t>-</w:t>
      </w:r>
      <w:r>
        <w:rPr>
          <w:rFonts w:hint="eastAsia"/>
          <w:bCs/>
          <w:color w:val="000000" w:themeColor="text1"/>
          <w:sz w:val="24"/>
        </w:rPr>
        <w:t>建盈稳冀</w:t>
      </w:r>
      <w:r>
        <w:rPr>
          <w:rFonts w:hint="eastAsia"/>
          <w:bCs/>
          <w:color w:val="000000" w:themeColor="text1"/>
          <w:sz w:val="24"/>
        </w:rPr>
        <w:t>2</w:t>
      </w:r>
      <w:r>
        <w:rPr>
          <w:rFonts w:hint="eastAsia"/>
          <w:bCs/>
          <w:color w:val="000000" w:themeColor="text1"/>
          <w:sz w:val="24"/>
        </w:rPr>
        <w:t>号</w:t>
      </w:r>
      <w:r>
        <w:rPr>
          <w:rFonts w:hint="eastAsia"/>
          <w:bCs/>
          <w:color w:val="000000" w:themeColor="text1"/>
          <w:sz w:val="24"/>
        </w:rPr>
        <w:t>集合资金信托计划</w:t>
      </w:r>
      <w:r>
        <w:rPr>
          <w:bCs/>
          <w:color w:val="000000" w:themeColor="text1"/>
          <w:sz w:val="24"/>
        </w:rPr>
        <w:t>信托合同》（以下简称</w:t>
      </w:r>
      <w:r>
        <w:rPr>
          <w:bCs/>
          <w:color w:val="000000" w:themeColor="text1"/>
          <w:sz w:val="24"/>
        </w:rPr>
        <w:t>“</w:t>
      </w:r>
      <w:r>
        <w:rPr>
          <w:bCs/>
          <w:color w:val="000000" w:themeColor="text1"/>
          <w:sz w:val="24"/>
        </w:rPr>
        <w:t>本合同</w:t>
      </w:r>
      <w:r>
        <w:rPr>
          <w:bCs/>
          <w:color w:val="000000" w:themeColor="text1"/>
          <w:sz w:val="24"/>
        </w:rPr>
        <w:t>”</w:t>
      </w:r>
      <w:r>
        <w:rPr>
          <w:bCs/>
          <w:color w:val="000000" w:themeColor="text1"/>
          <w:sz w:val="24"/>
        </w:rPr>
        <w:t>）由以下主体签署。</w:t>
      </w:r>
    </w:p>
    <w:p w:rsidR="00066166" w:rsidRDefault="00F62BD0">
      <w:pPr>
        <w:spacing w:beforeLines="100" w:before="312" w:afterLines="100" w:after="312" w:line="300" w:lineRule="auto"/>
        <w:rPr>
          <w:color w:val="000000" w:themeColor="text1"/>
          <w:sz w:val="24"/>
        </w:rPr>
      </w:pPr>
      <w:r>
        <w:rPr>
          <w:b/>
          <w:bCs/>
          <w:color w:val="000000" w:themeColor="text1"/>
          <w:sz w:val="24"/>
        </w:rPr>
        <w:t>委托人</w:t>
      </w:r>
      <w:r>
        <w:rPr>
          <w:color w:val="000000" w:themeColor="text1"/>
          <w:sz w:val="24"/>
        </w:rPr>
        <w:t>：指本合同</w:t>
      </w:r>
      <w:r>
        <w:rPr>
          <w:rFonts w:hint="eastAsia"/>
          <w:color w:val="000000" w:themeColor="text1"/>
          <w:kern w:val="0"/>
          <w:sz w:val="24"/>
          <w:szCs w:val="20"/>
        </w:rPr>
        <w:t>《认购（申购）条款》</w:t>
      </w:r>
      <w:r>
        <w:rPr>
          <w:rFonts w:hint="eastAsia"/>
          <w:color w:val="000000" w:themeColor="text1"/>
          <w:kern w:val="0"/>
          <w:sz w:val="24"/>
          <w:szCs w:val="20"/>
        </w:rPr>
        <w:t>/</w:t>
      </w:r>
      <w:r>
        <w:rPr>
          <w:rFonts w:hint="eastAsia"/>
          <w:color w:val="000000" w:themeColor="text1"/>
          <w:kern w:val="0"/>
          <w:sz w:val="24"/>
          <w:szCs w:val="20"/>
        </w:rPr>
        <w:t>《申购申请表》</w:t>
      </w:r>
      <w:r>
        <w:rPr>
          <w:color w:val="000000" w:themeColor="text1"/>
          <w:sz w:val="24"/>
        </w:rPr>
        <w:t>载明的委托人</w:t>
      </w:r>
    </w:p>
    <w:p w:rsidR="00066166" w:rsidRDefault="00F62BD0">
      <w:pPr>
        <w:spacing w:beforeLines="100" w:before="312" w:afterLines="100" w:after="312" w:line="300" w:lineRule="auto"/>
        <w:rPr>
          <w:color w:val="000000" w:themeColor="text1"/>
          <w:sz w:val="24"/>
        </w:rPr>
      </w:pPr>
      <w:r>
        <w:rPr>
          <w:b/>
          <w:bCs/>
          <w:color w:val="000000" w:themeColor="text1"/>
          <w:sz w:val="24"/>
        </w:rPr>
        <w:t>受托人</w:t>
      </w:r>
      <w:r>
        <w:rPr>
          <w:color w:val="000000" w:themeColor="text1"/>
          <w:sz w:val="24"/>
        </w:rPr>
        <w:t>：五矿国际信托有限公司</w:t>
      </w:r>
    </w:p>
    <w:p w:rsidR="00066166" w:rsidRDefault="00F62BD0">
      <w:pPr>
        <w:spacing w:beforeLines="100" w:before="312" w:afterLines="100" w:after="312" w:line="300" w:lineRule="auto"/>
        <w:rPr>
          <w:color w:val="000000" w:themeColor="text1"/>
          <w:sz w:val="24"/>
        </w:rPr>
      </w:pPr>
      <w:r>
        <w:rPr>
          <w:color w:val="000000" w:themeColor="text1"/>
          <w:sz w:val="24"/>
        </w:rPr>
        <w:t>法定代表人：</w:t>
      </w:r>
      <w:r>
        <w:rPr>
          <w:rFonts w:hint="eastAsia"/>
          <w:color w:val="000000" w:themeColor="text1"/>
          <w:sz w:val="24"/>
        </w:rPr>
        <w:t>王卓</w:t>
      </w:r>
    </w:p>
    <w:p w:rsidR="00066166" w:rsidRDefault="00F62BD0">
      <w:pPr>
        <w:spacing w:beforeLines="100" w:before="312" w:afterLines="100" w:after="312" w:line="300" w:lineRule="auto"/>
        <w:rPr>
          <w:color w:val="000000" w:themeColor="text1"/>
          <w:sz w:val="24"/>
        </w:rPr>
      </w:pPr>
      <w:r>
        <w:rPr>
          <w:color w:val="000000" w:themeColor="text1"/>
          <w:sz w:val="24"/>
        </w:rPr>
        <w:t>住所：</w:t>
      </w:r>
      <w:r>
        <w:rPr>
          <w:rFonts w:hint="eastAsia"/>
          <w:color w:val="000000" w:themeColor="text1"/>
          <w:sz w:val="24"/>
        </w:rPr>
        <w:t>青海省西宁市城中区创业路</w:t>
      </w:r>
      <w:r>
        <w:rPr>
          <w:rFonts w:hint="eastAsia"/>
          <w:color w:val="000000" w:themeColor="text1"/>
          <w:sz w:val="24"/>
        </w:rPr>
        <w:t>108</w:t>
      </w:r>
      <w:r>
        <w:rPr>
          <w:rFonts w:hint="eastAsia"/>
          <w:color w:val="000000" w:themeColor="text1"/>
          <w:sz w:val="24"/>
        </w:rPr>
        <w:t>号南川工业园区投资服务中心</w:t>
      </w:r>
      <w:r>
        <w:rPr>
          <w:rFonts w:hint="eastAsia"/>
          <w:color w:val="000000" w:themeColor="text1"/>
          <w:sz w:val="24"/>
        </w:rPr>
        <w:t>1</w:t>
      </w:r>
      <w:r>
        <w:rPr>
          <w:rFonts w:hint="eastAsia"/>
          <w:color w:val="000000" w:themeColor="text1"/>
          <w:sz w:val="24"/>
        </w:rPr>
        <w:t>号楼</w:t>
      </w:r>
      <w:r>
        <w:rPr>
          <w:rFonts w:hint="eastAsia"/>
          <w:color w:val="000000" w:themeColor="text1"/>
          <w:sz w:val="24"/>
        </w:rPr>
        <w:t>4</w:t>
      </w:r>
      <w:r>
        <w:rPr>
          <w:rFonts w:hint="eastAsia"/>
          <w:color w:val="000000" w:themeColor="text1"/>
          <w:sz w:val="24"/>
        </w:rPr>
        <w:t>层</w:t>
      </w:r>
    </w:p>
    <w:p w:rsidR="00066166" w:rsidRDefault="00F62BD0">
      <w:pPr>
        <w:spacing w:beforeLines="100" w:before="312" w:afterLines="100" w:after="312" w:line="300" w:lineRule="auto"/>
        <w:rPr>
          <w:color w:val="000000" w:themeColor="text1"/>
          <w:sz w:val="24"/>
        </w:rPr>
      </w:pPr>
      <w:r>
        <w:rPr>
          <w:rFonts w:hint="eastAsia"/>
          <w:color w:val="000000" w:themeColor="text1"/>
          <w:sz w:val="24"/>
        </w:rPr>
        <w:t>联系地址：</w:t>
      </w:r>
      <w:r>
        <w:rPr>
          <w:rFonts w:hint="eastAsia"/>
          <w:color w:val="000000" w:themeColor="text1"/>
          <w:sz w:val="24"/>
        </w:rPr>
        <w:t xml:space="preserve"> </w:t>
      </w:r>
      <w:r>
        <w:rPr>
          <w:rFonts w:hint="eastAsia"/>
          <w:color w:val="000000" w:themeColor="text1"/>
          <w:sz w:val="24"/>
        </w:rPr>
        <w:t>北京市东城区朝阳门北大街五矿广场</w:t>
      </w:r>
      <w:r>
        <w:rPr>
          <w:rFonts w:hint="eastAsia"/>
          <w:color w:val="000000" w:themeColor="text1"/>
          <w:sz w:val="24"/>
        </w:rPr>
        <w:t>C</w:t>
      </w:r>
      <w:r>
        <w:rPr>
          <w:rFonts w:hint="eastAsia"/>
          <w:color w:val="000000" w:themeColor="text1"/>
          <w:sz w:val="24"/>
        </w:rPr>
        <w:t>座</w:t>
      </w:r>
      <w:r>
        <w:rPr>
          <w:rFonts w:hint="eastAsia"/>
          <w:color w:val="000000" w:themeColor="text1"/>
          <w:sz w:val="24"/>
        </w:rPr>
        <w:t>6</w:t>
      </w:r>
      <w:r>
        <w:rPr>
          <w:rFonts w:hint="eastAsia"/>
          <w:color w:val="000000" w:themeColor="text1"/>
          <w:sz w:val="24"/>
        </w:rPr>
        <w:t>层</w:t>
      </w:r>
    </w:p>
    <w:p w:rsidR="00066166" w:rsidRDefault="00F62BD0">
      <w:pPr>
        <w:spacing w:beforeLines="100" w:before="312" w:afterLines="100" w:after="312" w:line="300" w:lineRule="auto"/>
        <w:rPr>
          <w:b/>
          <w:bCs/>
          <w:color w:val="000000" w:themeColor="text1"/>
          <w:sz w:val="24"/>
        </w:rPr>
      </w:pPr>
      <w:r>
        <w:rPr>
          <w:b/>
          <w:bCs/>
          <w:color w:val="000000" w:themeColor="text1"/>
          <w:sz w:val="24"/>
        </w:rPr>
        <w:t>鉴于：</w:t>
      </w:r>
    </w:p>
    <w:p w:rsidR="00066166" w:rsidRDefault="00F62BD0">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1</w:t>
      </w:r>
      <w:r>
        <w:rPr>
          <w:color w:val="000000" w:themeColor="text1"/>
          <w:szCs w:val="24"/>
        </w:rPr>
        <w:t>、委托人为在中华人民共和国境内居住的具有完全民事行为能力的自然人或根据中国法律合法成立的法人或者</w:t>
      </w:r>
      <w:r>
        <w:rPr>
          <w:rFonts w:hint="eastAsia"/>
          <w:color w:val="000000" w:themeColor="text1"/>
          <w:szCs w:val="24"/>
          <w:lang w:eastAsia="zh-Hans"/>
        </w:rPr>
        <w:t>非法人</w:t>
      </w:r>
      <w:r>
        <w:rPr>
          <w:color w:val="000000" w:themeColor="text1"/>
          <w:szCs w:val="24"/>
        </w:rPr>
        <w:t>组织</w:t>
      </w:r>
      <w:r>
        <w:rPr>
          <w:bCs/>
          <w:color w:val="000000" w:themeColor="text1"/>
          <w:kern w:val="2"/>
          <w:szCs w:val="24"/>
        </w:rPr>
        <w:t>，具备</w:t>
      </w:r>
      <w:r>
        <w:rPr>
          <w:rFonts w:hint="eastAsia"/>
          <w:bCs/>
          <w:color w:val="000000" w:themeColor="text1"/>
          <w:kern w:val="2"/>
          <w:szCs w:val="24"/>
        </w:rPr>
        <w:t>《关于规范金融机构资产管理业务的指导意见</w:t>
      </w:r>
      <w:r>
        <w:rPr>
          <w:bCs/>
          <w:color w:val="000000" w:themeColor="text1"/>
          <w:kern w:val="2"/>
          <w:szCs w:val="24"/>
        </w:rPr>
        <w:t>》第</w:t>
      </w:r>
      <w:r>
        <w:rPr>
          <w:rFonts w:hint="eastAsia"/>
          <w:bCs/>
          <w:color w:val="000000" w:themeColor="text1"/>
          <w:kern w:val="2"/>
          <w:szCs w:val="24"/>
        </w:rPr>
        <w:t>五</w:t>
      </w:r>
      <w:r>
        <w:rPr>
          <w:bCs/>
          <w:color w:val="000000" w:themeColor="text1"/>
          <w:kern w:val="2"/>
          <w:szCs w:val="24"/>
        </w:rPr>
        <w:t>条</w:t>
      </w:r>
      <w:r>
        <w:rPr>
          <w:rFonts w:hint="eastAsia"/>
          <w:bCs/>
          <w:color w:val="000000" w:themeColor="text1"/>
          <w:kern w:val="2"/>
          <w:szCs w:val="24"/>
        </w:rPr>
        <w:t>及</w:t>
      </w:r>
      <w:r>
        <w:rPr>
          <w:bCs/>
          <w:color w:val="000000" w:themeColor="text1"/>
          <w:kern w:val="2"/>
          <w:szCs w:val="24"/>
        </w:rPr>
        <w:t>《信托公司集合资金信托计划管理办法》第六条规定的合格投资者条件，愿意参</w:t>
      </w:r>
      <w:r>
        <w:rPr>
          <w:color w:val="000000" w:themeColor="text1"/>
          <w:szCs w:val="24"/>
        </w:rPr>
        <w:t>与本合同所述之</w:t>
      </w:r>
      <w:r>
        <w:rPr>
          <w:rFonts w:hint="eastAsia"/>
          <w:bCs/>
          <w:color w:val="000000" w:themeColor="text1"/>
          <w:szCs w:val="24"/>
        </w:rPr>
        <w:t>五矿信托磐石系列</w:t>
      </w:r>
      <w:r>
        <w:rPr>
          <w:rFonts w:hint="eastAsia"/>
          <w:bCs/>
          <w:color w:val="000000" w:themeColor="text1"/>
          <w:szCs w:val="24"/>
        </w:rPr>
        <w:t>-</w:t>
      </w:r>
      <w:r>
        <w:rPr>
          <w:rFonts w:hint="eastAsia"/>
          <w:bCs/>
          <w:color w:val="000000" w:themeColor="text1"/>
          <w:szCs w:val="24"/>
        </w:rPr>
        <w:t>建盈稳冀</w:t>
      </w:r>
      <w:r>
        <w:rPr>
          <w:rFonts w:hint="eastAsia"/>
          <w:bCs/>
          <w:color w:val="000000" w:themeColor="text1"/>
          <w:szCs w:val="24"/>
        </w:rPr>
        <w:t>2</w:t>
      </w:r>
      <w:r>
        <w:rPr>
          <w:rFonts w:hint="eastAsia"/>
          <w:bCs/>
          <w:color w:val="000000" w:themeColor="text1"/>
          <w:szCs w:val="24"/>
        </w:rPr>
        <w:t>号</w:t>
      </w:r>
      <w:r>
        <w:rPr>
          <w:rFonts w:hint="eastAsia"/>
          <w:bCs/>
          <w:color w:val="000000" w:themeColor="text1"/>
          <w:szCs w:val="24"/>
        </w:rPr>
        <w:t>集合资金信托计划</w:t>
      </w:r>
      <w:r>
        <w:rPr>
          <w:color w:val="000000" w:themeColor="text1"/>
          <w:szCs w:val="24"/>
        </w:rPr>
        <w:t>，由</w:t>
      </w:r>
      <w:r>
        <w:rPr>
          <w:color w:val="000000" w:themeColor="text1"/>
        </w:rPr>
        <w:t>受托人集合与委托人具有共同投资目的的其他委托人的信托资金及其他信托财产根据信托文件进行管理、运用和处分</w:t>
      </w:r>
      <w:r>
        <w:rPr>
          <w:color w:val="000000" w:themeColor="text1"/>
          <w:szCs w:val="24"/>
        </w:rPr>
        <w:t>。</w:t>
      </w:r>
    </w:p>
    <w:p w:rsidR="00066166" w:rsidRDefault="00F62BD0">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2</w:t>
      </w:r>
      <w:r>
        <w:rPr>
          <w:color w:val="000000" w:themeColor="text1"/>
          <w:szCs w:val="24"/>
        </w:rPr>
        <w:t>、受托人为合格的信托业务经营机构，具备发起设立集合资金信托计划的资格。</w:t>
      </w:r>
    </w:p>
    <w:p w:rsidR="00066166" w:rsidRDefault="00F62BD0">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为此，委托人与受托人本着平等、互利、诚实、信用的原则，依据</w:t>
      </w:r>
      <w:r>
        <w:rPr>
          <w:rFonts w:hint="eastAsia"/>
          <w:color w:val="000000" w:themeColor="text1"/>
          <w:szCs w:val="24"/>
        </w:rPr>
        <w:t>《中华人民共和国民法典》</w:t>
      </w:r>
      <w:r>
        <w:rPr>
          <w:color w:val="000000" w:themeColor="text1"/>
          <w:szCs w:val="24"/>
        </w:rPr>
        <w:t>《中华人民共和国信托法》</w:t>
      </w:r>
      <w:r>
        <w:rPr>
          <w:rFonts w:hint="eastAsia"/>
          <w:color w:val="000000" w:themeColor="text1"/>
          <w:szCs w:val="24"/>
        </w:rPr>
        <w:t>《</w:t>
      </w:r>
      <w:r>
        <w:rPr>
          <w:rFonts w:hint="eastAsia"/>
          <w:bCs/>
          <w:color w:val="000000" w:themeColor="text1"/>
          <w:kern w:val="2"/>
          <w:szCs w:val="24"/>
        </w:rPr>
        <w:t>关于规范金融机构资产管理业务的指导意见</w:t>
      </w:r>
      <w:r>
        <w:rPr>
          <w:rFonts w:hint="eastAsia"/>
          <w:color w:val="000000" w:themeColor="text1"/>
          <w:szCs w:val="24"/>
        </w:rPr>
        <w:t>》</w:t>
      </w:r>
      <w:r>
        <w:rPr>
          <w:color w:val="000000" w:themeColor="text1"/>
          <w:szCs w:val="24"/>
        </w:rPr>
        <w:t>《信托公司管理办法》《信托公司集合资金信托计划管理办法》及其他有关法律、法规、规章和规范性文件的规定，自愿签订本合同，以共同信守。</w:t>
      </w:r>
    </w:p>
    <w:p w:rsidR="00066166" w:rsidRDefault="00066166">
      <w:pPr>
        <w:pStyle w:val="NormalJustified"/>
        <w:widowControl w:val="0"/>
        <w:spacing w:beforeLines="100" w:before="312" w:afterLines="100" w:after="312" w:line="300" w:lineRule="auto"/>
        <w:ind w:firstLineChars="200" w:firstLine="480"/>
        <w:rPr>
          <w:color w:val="000000" w:themeColor="text1"/>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8" w:name="_Toc164487801"/>
      <w:bookmarkStart w:id="9" w:name="_Toc91143601"/>
      <w:bookmarkStart w:id="10" w:name="_Toc13016379"/>
      <w:r>
        <w:rPr>
          <w:color w:val="000000" w:themeColor="text1"/>
          <w:sz w:val="24"/>
          <w:szCs w:val="24"/>
        </w:rPr>
        <w:lastRenderedPageBreak/>
        <w:t>定义</w:t>
      </w:r>
      <w:bookmarkEnd w:id="8"/>
      <w:bookmarkEnd w:id="9"/>
      <w:bookmarkEnd w:id="10"/>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1" w:name="_Toc164487802"/>
      <w:r>
        <w:rPr>
          <w:rFonts w:ascii="Times New Roman" w:eastAsia="宋体" w:hAnsi="Times New Roman"/>
          <w:color w:val="000000" w:themeColor="text1"/>
          <w:sz w:val="24"/>
          <w:szCs w:val="24"/>
        </w:rPr>
        <w:t>释义</w:t>
      </w:r>
      <w:bookmarkEnd w:id="11"/>
    </w:p>
    <w:p w:rsidR="00066166" w:rsidRDefault="00F62BD0">
      <w:pPr>
        <w:pStyle w:val="NormalJustified"/>
        <w:widowControl w:val="0"/>
        <w:spacing w:beforeLines="100" w:before="312" w:afterLines="100" w:after="312" w:line="300" w:lineRule="auto"/>
        <w:ind w:firstLineChars="300" w:firstLine="720"/>
        <w:rPr>
          <w:color w:val="000000" w:themeColor="text1"/>
          <w:szCs w:val="24"/>
        </w:rPr>
      </w:pPr>
      <w:r>
        <w:rPr>
          <w:color w:val="000000" w:themeColor="text1"/>
          <w:szCs w:val="24"/>
        </w:rPr>
        <w:t>就本合同而言，除非上下文另有要求，下列词语应具有如下约定的含义：</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bookmarkStart w:id="12" w:name="_Hlk22739441"/>
      <w:r>
        <w:rPr>
          <w:b/>
          <w:color w:val="000000" w:themeColor="text1"/>
          <w:szCs w:val="24"/>
        </w:rPr>
        <w:t>本合同</w:t>
      </w:r>
      <w:r>
        <w:rPr>
          <w:b/>
          <w:color w:val="000000" w:themeColor="text1"/>
        </w:rPr>
        <w:t>：</w:t>
      </w:r>
      <w:r>
        <w:rPr>
          <w:color w:val="000000" w:themeColor="text1"/>
          <w:szCs w:val="24"/>
        </w:rPr>
        <w:t>指本合同项下</w:t>
      </w:r>
      <w:r>
        <w:rPr>
          <w:color w:val="000000" w:themeColor="text1"/>
        </w:rPr>
        <w:t>委托人与</w:t>
      </w:r>
      <w:r>
        <w:rPr>
          <w:color w:val="000000" w:themeColor="text1"/>
          <w:kern w:val="2"/>
          <w:szCs w:val="24"/>
        </w:rPr>
        <w:t>受托人</w:t>
      </w:r>
      <w:r>
        <w:rPr>
          <w:color w:val="000000" w:themeColor="text1"/>
        </w:rPr>
        <w:t>签署的《</w:t>
      </w:r>
      <w:r>
        <w:rPr>
          <w:rFonts w:hint="eastAsia"/>
          <w:bCs/>
          <w:color w:val="000000" w:themeColor="text1"/>
          <w:szCs w:val="24"/>
        </w:rPr>
        <w:t>五矿信托磐石系列</w:t>
      </w:r>
      <w:r>
        <w:rPr>
          <w:rFonts w:hint="eastAsia"/>
          <w:bCs/>
          <w:color w:val="000000" w:themeColor="text1"/>
          <w:szCs w:val="24"/>
        </w:rPr>
        <w:t>-</w:t>
      </w:r>
      <w:r>
        <w:rPr>
          <w:rFonts w:hint="eastAsia"/>
          <w:bCs/>
          <w:color w:val="000000" w:themeColor="text1"/>
          <w:szCs w:val="24"/>
        </w:rPr>
        <w:t>建盈稳冀</w:t>
      </w:r>
      <w:r>
        <w:rPr>
          <w:rFonts w:hint="eastAsia"/>
          <w:bCs/>
          <w:color w:val="000000" w:themeColor="text1"/>
          <w:szCs w:val="24"/>
        </w:rPr>
        <w:t>2</w:t>
      </w:r>
      <w:r>
        <w:rPr>
          <w:rFonts w:hint="eastAsia"/>
          <w:bCs/>
          <w:color w:val="000000" w:themeColor="text1"/>
          <w:szCs w:val="24"/>
        </w:rPr>
        <w:t>号</w:t>
      </w:r>
      <w:r>
        <w:rPr>
          <w:rFonts w:hint="eastAsia"/>
          <w:bCs/>
          <w:color w:val="000000" w:themeColor="text1"/>
          <w:szCs w:val="24"/>
        </w:rPr>
        <w:t>集合资金信托计划</w:t>
      </w:r>
      <w:r>
        <w:rPr>
          <w:bCs/>
          <w:color w:val="000000" w:themeColor="text1"/>
          <w:szCs w:val="24"/>
        </w:rPr>
        <w:t>信托合同</w:t>
      </w:r>
      <w:r>
        <w:rPr>
          <w:color w:val="000000" w:themeColor="text1"/>
        </w:rPr>
        <w:t>》，包括对其的任何</w:t>
      </w:r>
      <w:r>
        <w:rPr>
          <w:rFonts w:hint="eastAsia"/>
          <w:color w:val="000000" w:themeColor="text1"/>
        </w:rPr>
        <w:t>有效</w:t>
      </w:r>
      <w:r>
        <w:rPr>
          <w:color w:val="000000" w:themeColor="text1"/>
        </w:rPr>
        <w:t>修订和补充</w:t>
      </w:r>
      <w:r>
        <w:rPr>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本信托计划</w:t>
      </w:r>
      <w:r>
        <w:rPr>
          <w:b/>
          <w:color w:val="000000" w:themeColor="text1"/>
          <w:szCs w:val="24"/>
        </w:rPr>
        <w:t>/</w:t>
      </w:r>
      <w:r>
        <w:rPr>
          <w:b/>
          <w:color w:val="000000" w:themeColor="text1"/>
          <w:szCs w:val="24"/>
        </w:rPr>
        <w:t>信托计划</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Pr>
          <w:rFonts w:hint="eastAsia"/>
          <w:color w:val="000000" w:themeColor="text1"/>
        </w:rPr>
        <w:t>建盈稳冀</w:t>
      </w:r>
      <w:r>
        <w:rPr>
          <w:rFonts w:hint="eastAsia"/>
          <w:color w:val="000000" w:themeColor="text1"/>
        </w:rPr>
        <w:t>2</w:t>
      </w:r>
      <w:r>
        <w:rPr>
          <w:rFonts w:hint="eastAsia"/>
          <w:color w:val="000000" w:themeColor="text1"/>
        </w:rPr>
        <w:t>号</w:t>
      </w:r>
      <w:r>
        <w:rPr>
          <w:rFonts w:hint="eastAsia"/>
          <w:color w:val="000000" w:themeColor="text1"/>
        </w:rPr>
        <w:t>集合资金信托计划</w:t>
      </w:r>
      <w:r>
        <w:rPr>
          <w:color w:val="000000" w:themeColor="text1"/>
        </w:rPr>
        <w:t>，为一项依照</w:t>
      </w:r>
      <w:r>
        <w:rPr>
          <w:color w:val="000000" w:themeColor="text1"/>
          <w:kern w:val="2"/>
          <w:szCs w:val="24"/>
        </w:rPr>
        <w:t>受托人</w:t>
      </w:r>
      <w:r>
        <w:rPr>
          <w:color w:val="000000" w:themeColor="text1"/>
        </w:rPr>
        <w:t>与委托人及与委托人具有共同投资目的的其他投资者分别签署的《信托合同》设立的集合资金信托计划</w:t>
      </w:r>
      <w:r>
        <w:rPr>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《信托合同》</w:t>
      </w:r>
      <w:r>
        <w:rPr>
          <w:b/>
          <w:color w:val="000000" w:themeColor="text1"/>
          <w:szCs w:val="24"/>
        </w:rPr>
        <w:t>/</w:t>
      </w:r>
      <w:r>
        <w:rPr>
          <w:b/>
          <w:color w:val="000000" w:themeColor="text1"/>
          <w:szCs w:val="24"/>
        </w:rPr>
        <w:t>信托合同</w:t>
      </w:r>
      <w:r>
        <w:rPr>
          <w:b/>
          <w:color w:val="000000" w:themeColor="text1"/>
        </w:rPr>
        <w:t>：</w:t>
      </w:r>
      <w:r>
        <w:rPr>
          <w:color w:val="000000" w:themeColor="text1"/>
          <w:szCs w:val="24"/>
        </w:rPr>
        <w:t>指本合同、受托人与</w:t>
      </w:r>
      <w:r>
        <w:rPr>
          <w:color w:val="000000" w:themeColor="text1"/>
        </w:rPr>
        <w:t>本信托计划项下其他委托人签署的</w:t>
      </w:r>
      <w:bookmarkStart w:id="13" w:name="_Hlk68095771"/>
      <w:r>
        <w:rPr>
          <w:color w:val="000000" w:themeColor="text1"/>
          <w:szCs w:val="24"/>
        </w:rPr>
        <w:t>《</w:t>
      </w:r>
      <w:r>
        <w:rPr>
          <w:rFonts w:hint="eastAsia"/>
          <w:color w:val="000000" w:themeColor="text1"/>
          <w:szCs w:val="24"/>
        </w:rPr>
        <w:t>五矿信托磐石系列</w:t>
      </w:r>
      <w:r>
        <w:rPr>
          <w:rFonts w:hint="eastAsia"/>
          <w:color w:val="000000" w:themeColor="text1"/>
          <w:szCs w:val="24"/>
        </w:rPr>
        <w:t>-</w:t>
      </w:r>
      <w:r>
        <w:rPr>
          <w:rFonts w:hint="eastAsia"/>
          <w:color w:val="000000" w:themeColor="text1"/>
          <w:szCs w:val="24"/>
        </w:rPr>
        <w:t>建盈稳冀</w:t>
      </w:r>
      <w:r>
        <w:rPr>
          <w:rFonts w:hint="eastAsia"/>
          <w:color w:val="000000" w:themeColor="text1"/>
          <w:szCs w:val="24"/>
        </w:rPr>
        <w:t>2</w:t>
      </w:r>
      <w:r>
        <w:rPr>
          <w:rFonts w:hint="eastAsia"/>
          <w:color w:val="000000" w:themeColor="text1"/>
          <w:szCs w:val="24"/>
        </w:rPr>
        <w:t>号</w:t>
      </w:r>
      <w:r>
        <w:rPr>
          <w:rFonts w:hint="eastAsia"/>
          <w:color w:val="000000" w:themeColor="text1"/>
          <w:szCs w:val="24"/>
        </w:rPr>
        <w:t>集合资金信托计划</w:t>
      </w:r>
      <w:r>
        <w:rPr>
          <w:color w:val="000000" w:themeColor="text1"/>
          <w:szCs w:val="24"/>
        </w:rPr>
        <w:t>信托合同</w:t>
      </w:r>
      <w:r>
        <w:rPr>
          <w:color w:val="000000" w:themeColor="text1"/>
          <w:kern w:val="2"/>
          <w:szCs w:val="24"/>
        </w:rPr>
        <w:t>》</w:t>
      </w:r>
      <w:bookmarkEnd w:id="13"/>
      <w:r>
        <w:rPr>
          <w:color w:val="000000" w:themeColor="text1"/>
          <w:szCs w:val="24"/>
        </w:rPr>
        <w:t>以及</w:t>
      </w:r>
      <w:r>
        <w:rPr>
          <w:color w:val="000000" w:themeColor="text1"/>
        </w:rPr>
        <w:t>对该等合同的任何</w:t>
      </w:r>
      <w:r>
        <w:rPr>
          <w:rFonts w:hint="eastAsia"/>
          <w:color w:val="000000" w:themeColor="text1"/>
        </w:rPr>
        <w:t>有效</w:t>
      </w:r>
      <w:r>
        <w:rPr>
          <w:color w:val="000000" w:themeColor="text1"/>
        </w:rPr>
        <w:t>修订和补充</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《信托计划说明书》</w:t>
      </w:r>
      <w:r>
        <w:rPr>
          <w:b/>
          <w:color w:val="000000" w:themeColor="text1"/>
        </w:rPr>
        <w:t>：</w:t>
      </w:r>
      <w:r>
        <w:rPr>
          <w:color w:val="000000" w:themeColor="text1"/>
          <w:szCs w:val="24"/>
        </w:rPr>
        <w:t>指</w:t>
      </w:r>
      <w:r>
        <w:rPr>
          <w:color w:val="000000" w:themeColor="text1"/>
          <w:kern w:val="2"/>
          <w:szCs w:val="24"/>
        </w:rPr>
        <w:t>《</w:t>
      </w:r>
      <w:r>
        <w:rPr>
          <w:rFonts w:hint="eastAsia"/>
          <w:color w:val="000000" w:themeColor="text1"/>
          <w:kern w:val="2"/>
        </w:rPr>
        <w:t>五矿信托磐石系列</w:t>
      </w:r>
      <w:r>
        <w:rPr>
          <w:rFonts w:hint="eastAsia"/>
          <w:color w:val="000000" w:themeColor="text1"/>
          <w:kern w:val="2"/>
        </w:rPr>
        <w:t>-</w:t>
      </w:r>
      <w:r>
        <w:rPr>
          <w:rFonts w:hint="eastAsia"/>
          <w:color w:val="000000" w:themeColor="text1"/>
          <w:kern w:val="2"/>
        </w:rPr>
        <w:t>建盈稳冀</w:t>
      </w:r>
      <w:r>
        <w:rPr>
          <w:rFonts w:hint="eastAsia"/>
          <w:color w:val="000000" w:themeColor="text1"/>
          <w:kern w:val="2"/>
        </w:rPr>
        <w:t>2</w:t>
      </w:r>
      <w:r>
        <w:rPr>
          <w:rFonts w:hint="eastAsia"/>
          <w:color w:val="000000" w:themeColor="text1"/>
          <w:kern w:val="2"/>
        </w:rPr>
        <w:t>号</w:t>
      </w:r>
      <w:r>
        <w:rPr>
          <w:rFonts w:hint="eastAsia"/>
          <w:color w:val="000000" w:themeColor="text1"/>
          <w:kern w:val="2"/>
        </w:rPr>
        <w:t>集合资金信托计划</w:t>
      </w:r>
      <w:r>
        <w:rPr>
          <w:color w:val="000000" w:themeColor="text1"/>
          <w:kern w:val="2"/>
          <w:szCs w:val="24"/>
        </w:rPr>
        <w:t>说明书》</w:t>
      </w:r>
      <w:r>
        <w:rPr>
          <w:color w:val="000000" w:themeColor="text1"/>
          <w:szCs w:val="24"/>
        </w:rPr>
        <w:t>以及</w:t>
      </w:r>
      <w:r>
        <w:rPr>
          <w:color w:val="000000" w:themeColor="text1"/>
        </w:rPr>
        <w:t>对该</w:t>
      </w:r>
      <w:r>
        <w:rPr>
          <w:rFonts w:hint="eastAsia"/>
          <w:color w:val="000000" w:themeColor="text1"/>
        </w:rPr>
        <w:t>说明书</w:t>
      </w:r>
      <w:r>
        <w:rPr>
          <w:color w:val="000000" w:themeColor="text1"/>
        </w:rPr>
        <w:t>的任何</w:t>
      </w:r>
      <w:r>
        <w:rPr>
          <w:rFonts w:hint="eastAsia"/>
          <w:color w:val="000000" w:themeColor="text1"/>
        </w:rPr>
        <w:t>有效</w:t>
      </w:r>
      <w:r>
        <w:rPr>
          <w:color w:val="000000" w:themeColor="text1"/>
        </w:rPr>
        <w:t>修订和补充</w:t>
      </w:r>
      <w:r>
        <w:rPr>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b/>
          <w:color w:val="000000" w:themeColor="text1"/>
        </w:rPr>
        <w:t>风险申明书</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Pr>
          <w:rFonts w:hint="eastAsia"/>
          <w:color w:val="000000" w:themeColor="text1"/>
        </w:rPr>
        <w:t>建盈稳冀</w:t>
      </w:r>
      <w:r>
        <w:rPr>
          <w:rFonts w:hint="eastAsia"/>
          <w:color w:val="000000" w:themeColor="text1"/>
        </w:rPr>
        <w:t>2</w:t>
      </w:r>
      <w:r>
        <w:rPr>
          <w:rFonts w:hint="eastAsia"/>
          <w:color w:val="000000" w:themeColor="text1"/>
        </w:rPr>
        <w:t>号</w:t>
      </w:r>
      <w:r>
        <w:rPr>
          <w:rFonts w:hint="eastAsia"/>
          <w:color w:val="000000" w:themeColor="text1"/>
        </w:rPr>
        <w:t>集合资金信托计划认购（申购）</w:t>
      </w:r>
      <w:r>
        <w:rPr>
          <w:color w:val="000000" w:themeColor="text1"/>
        </w:rPr>
        <w:t>风险申明书</w:t>
      </w:r>
      <w:r>
        <w:rPr>
          <w:color w:val="000000" w:themeColor="text1"/>
          <w:szCs w:val="24"/>
        </w:rPr>
        <w:t>》以及对该</w:t>
      </w:r>
      <w:r>
        <w:rPr>
          <w:rFonts w:hint="eastAsia"/>
          <w:color w:val="000000" w:themeColor="text1"/>
          <w:szCs w:val="24"/>
        </w:rPr>
        <w:t>申明书</w:t>
      </w:r>
      <w:r>
        <w:rPr>
          <w:color w:val="000000" w:themeColor="text1"/>
          <w:szCs w:val="24"/>
        </w:rPr>
        <w:t>的任何</w:t>
      </w:r>
      <w:r>
        <w:rPr>
          <w:rFonts w:hint="eastAsia"/>
          <w:color w:val="000000" w:themeColor="text1"/>
          <w:szCs w:val="24"/>
        </w:rPr>
        <w:t>有效</w:t>
      </w:r>
      <w:r>
        <w:rPr>
          <w:color w:val="000000" w:themeColor="text1"/>
          <w:szCs w:val="24"/>
        </w:rPr>
        <w:t>修订和补充。</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rFonts w:hint="eastAsia"/>
          <w:b/>
          <w:color w:val="000000" w:themeColor="text1"/>
        </w:rPr>
        <w:t>申购申请表</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Pr>
          <w:rFonts w:hint="eastAsia"/>
          <w:color w:val="000000" w:themeColor="text1"/>
        </w:rPr>
        <w:t>建盈稳冀</w:t>
      </w:r>
      <w:r>
        <w:rPr>
          <w:rFonts w:hint="eastAsia"/>
          <w:color w:val="000000" w:themeColor="text1"/>
        </w:rPr>
        <w:t>2</w:t>
      </w:r>
      <w:r>
        <w:rPr>
          <w:rFonts w:hint="eastAsia"/>
          <w:color w:val="000000" w:themeColor="text1"/>
        </w:rPr>
        <w:t>号</w:t>
      </w:r>
      <w:r>
        <w:rPr>
          <w:rFonts w:hint="eastAsia"/>
          <w:color w:val="000000" w:themeColor="text1"/>
        </w:rPr>
        <w:t>集合资金信托计划申购申请表</w:t>
      </w:r>
      <w:r>
        <w:rPr>
          <w:color w:val="000000" w:themeColor="text1"/>
          <w:szCs w:val="24"/>
        </w:rPr>
        <w:t>》</w:t>
      </w:r>
      <w:r>
        <w:rPr>
          <w:rFonts w:hint="eastAsia"/>
          <w:color w:val="000000" w:themeColor="text1"/>
          <w:szCs w:val="24"/>
        </w:rPr>
        <w:t>（样本见附件六）。</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rFonts w:hint="eastAsia"/>
          <w:b/>
          <w:color w:val="000000" w:themeColor="text1"/>
        </w:rPr>
        <w:t>赎回申请表</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Pr>
          <w:rFonts w:hint="eastAsia"/>
          <w:color w:val="000000" w:themeColor="text1"/>
        </w:rPr>
        <w:t>建盈稳冀</w:t>
      </w:r>
      <w:r>
        <w:rPr>
          <w:rFonts w:hint="eastAsia"/>
          <w:color w:val="000000" w:themeColor="text1"/>
        </w:rPr>
        <w:t>2</w:t>
      </w:r>
      <w:r>
        <w:rPr>
          <w:rFonts w:hint="eastAsia"/>
          <w:color w:val="000000" w:themeColor="text1"/>
        </w:rPr>
        <w:t>号</w:t>
      </w:r>
      <w:r>
        <w:rPr>
          <w:rFonts w:hint="eastAsia"/>
          <w:color w:val="000000" w:themeColor="text1"/>
        </w:rPr>
        <w:t>集合资金信托计划赎回申请表</w:t>
      </w:r>
      <w:r>
        <w:rPr>
          <w:color w:val="000000" w:themeColor="text1"/>
          <w:szCs w:val="24"/>
        </w:rPr>
        <w:t>》</w:t>
      </w:r>
      <w:r>
        <w:rPr>
          <w:rFonts w:hint="eastAsia"/>
          <w:color w:val="000000" w:themeColor="text1"/>
          <w:szCs w:val="24"/>
        </w:rPr>
        <w:t>（样本见附件七）。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信托文件</w:t>
      </w:r>
      <w:r>
        <w:rPr>
          <w:b/>
          <w:color w:val="000000" w:themeColor="text1"/>
        </w:rPr>
        <w:t>：</w:t>
      </w:r>
      <w:bookmarkStart w:id="14" w:name="_Hlk55548810"/>
      <w:r>
        <w:rPr>
          <w:color w:val="000000" w:themeColor="text1"/>
          <w:szCs w:val="24"/>
        </w:rPr>
        <w:t>指约定本信托计划项下</w:t>
      </w:r>
      <w:r>
        <w:rPr>
          <w:color w:val="000000" w:themeColor="text1"/>
          <w:kern w:val="2"/>
          <w:szCs w:val="24"/>
        </w:rPr>
        <w:t>信托</w:t>
      </w:r>
      <w:r>
        <w:rPr>
          <w:color w:val="000000" w:themeColor="text1"/>
          <w:szCs w:val="24"/>
        </w:rPr>
        <w:t>当事人之间权利义务关系的文件，包括但不限于</w:t>
      </w:r>
      <w:r>
        <w:rPr>
          <w:color w:val="000000" w:themeColor="text1"/>
        </w:rPr>
        <w:t>《信托合同》《信托计划说明书》《风险申明书》</w:t>
      </w:r>
      <w:r>
        <w:rPr>
          <w:rFonts w:hint="eastAsia"/>
          <w:color w:val="000000" w:themeColor="text1"/>
        </w:rPr>
        <w:t>《申购申请表》（若有）及《赎回申请表》（若有）</w:t>
      </w:r>
      <w:r>
        <w:rPr>
          <w:color w:val="000000" w:themeColor="text1"/>
          <w:szCs w:val="24"/>
        </w:rPr>
        <w:t>。</w:t>
      </w:r>
      <w:bookmarkEnd w:id="14"/>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委托人</w:t>
      </w:r>
      <w:r>
        <w:rPr>
          <w:b/>
          <w:color w:val="000000" w:themeColor="text1"/>
        </w:rPr>
        <w:t>：</w:t>
      </w:r>
      <w:r>
        <w:rPr>
          <w:color w:val="000000" w:themeColor="text1"/>
          <w:szCs w:val="24"/>
        </w:rPr>
        <w:t>指包括本合同项下委托人在内的信托计划的投资者，该等投资者于信托计划设立</w:t>
      </w:r>
      <w:r>
        <w:rPr>
          <w:rFonts w:hint="eastAsia"/>
          <w:color w:val="000000" w:themeColor="text1"/>
          <w:szCs w:val="24"/>
        </w:rPr>
        <w:t>或后续申购成功</w:t>
      </w:r>
      <w:r>
        <w:rPr>
          <w:color w:val="000000" w:themeColor="text1"/>
          <w:szCs w:val="24"/>
        </w:rPr>
        <w:t>时通过交付信托资金参与</w:t>
      </w:r>
      <w:r>
        <w:rPr>
          <w:color w:val="000000" w:themeColor="text1"/>
          <w:kern w:val="2"/>
          <w:szCs w:val="24"/>
        </w:rPr>
        <w:t>信托</w:t>
      </w:r>
      <w:r>
        <w:rPr>
          <w:color w:val="000000" w:themeColor="text1"/>
          <w:szCs w:val="24"/>
        </w:rPr>
        <w:t>计划而获得</w:t>
      </w:r>
      <w:r>
        <w:rPr>
          <w:rFonts w:hint="eastAsia"/>
          <w:color w:val="000000" w:themeColor="text1"/>
          <w:szCs w:val="24"/>
        </w:rPr>
        <w:t>信托</w:t>
      </w:r>
      <w:r>
        <w:rPr>
          <w:color w:val="000000" w:themeColor="text1"/>
          <w:szCs w:val="24"/>
        </w:rPr>
        <w:t>受益权</w:t>
      </w:r>
      <w:r>
        <w:rPr>
          <w:rFonts w:hint="eastAsia"/>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受托人</w:t>
      </w:r>
      <w:r>
        <w:rPr>
          <w:b/>
          <w:color w:val="000000" w:themeColor="text1"/>
          <w:szCs w:val="24"/>
        </w:rPr>
        <w:t>/</w:t>
      </w:r>
      <w:r>
        <w:rPr>
          <w:b/>
          <w:color w:val="000000" w:themeColor="text1"/>
          <w:szCs w:val="24"/>
        </w:rPr>
        <w:t>五矿信托</w:t>
      </w:r>
      <w:r>
        <w:rPr>
          <w:b/>
          <w:color w:val="000000" w:themeColor="text1"/>
        </w:rPr>
        <w:t>：</w:t>
      </w:r>
      <w:r>
        <w:rPr>
          <w:color w:val="000000" w:themeColor="text1"/>
          <w:szCs w:val="24"/>
        </w:rPr>
        <w:t>指五矿国际信托有限公司，为信托计划的受托人。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szCs w:val="24"/>
        </w:rPr>
        <w:lastRenderedPageBreak/>
        <w:t>受益人</w:t>
      </w:r>
      <w:r>
        <w:rPr>
          <w:b/>
          <w:color w:val="000000" w:themeColor="text1"/>
        </w:rPr>
        <w:t>：</w:t>
      </w:r>
      <w:r>
        <w:rPr>
          <w:rFonts w:hAnsi="宋体"/>
          <w:color w:val="000000" w:themeColor="text1"/>
          <w:szCs w:val="24"/>
        </w:rPr>
        <w:t>指合法持有信托单位的</w:t>
      </w:r>
      <w:r>
        <w:rPr>
          <w:rFonts w:hAnsi="宋体" w:hint="eastAsia"/>
          <w:color w:val="000000" w:themeColor="text1"/>
          <w:szCs w:val="24"/>
        </w:rPr>
        <w:t>自然人、</w:t>
      </w:r>
      <w:r>
        <w:rPr>
          <w:rFonts w:hAnsi="宋体"/>
          <w:color w:val="000000" w:themeColor="text1"/>
          <w:szCs w:val="24"/>
        </w:rPr>
        <w:t>法人或者</w:t>
      </w:r>
      <w:r>
        <w:rPr>
          <w:rFonts w:hAnsi="宋体" w:hint="eastAsia"/>
          <w:color w:val="000000" w:themeColor="text1"/>
          <w:szCs w:val="24"/>
          <w:lang w:eastAsia="zh-Hans"/>
        </w:rPr>
        <w:t>非法人</w:t>
      </w:r>
      <w:r>
        <w:rPr>
          <w:rFonts w:hAnsi="宋体"/>
          <w:color w:val="000000" w:themeColor="text1"/>
          <w:szCs w:val="24"/>
        </w:rPr>
        <w:t>组织，信托计划成立</w:t>
      </w:r>
      <w:r>
        <w:rPr>
          <w:rFonts w:hAnsi="宋体" w:hint="eastAsia"/>
          <w:color w:val="000000" w:themeColor="text1"/>
          <w:szCs w:val="24"/>
        </w:rPr>
        <w:t>或申购成功</w:t>
      </w:r>
      <w:r>
        <w:rPr>
          <w:rFonts w:hAnsi="宋体"/>
          <w:color w:val="000000" w:themeColor="text1"/>
          <w:szCs w:val="24"/>
        </w:rPr>
        <w:t>时，参与本</w:t>
      </w:r>
      <w:r>
        <w:rPr>
          <w:rFonts w:hAnsi="宋体"/>
          <w:color w:val="000000" w:themeColor="text1"/>
        </w:rPr>
        <w:t>信托计划的</w:t>
      </w:r>
      <w:r>
        <w:rPr>
          <w:rFonts w:hAnsi="宋体"/>
          <w:color w:val="000000" w:themeColor="text1"/>
          <w:szCs w:val="24"/>
        </w:rPr>
        <w:t>委托人为</w:t>
      </w:r>
      <w:r>
        <w:rPr>
          <w:rFonts w:hAnsi="宋体" w:hint="eastAsia"/>
          <w:color w:val="000000" w:themeColor="text1"/>
          <w:szCs w:val="24"/>
        </w:rPr>
        <w:t>惟一</w:t>
      </w:r>
      <w:r>
        <w:rPr>
          <w:rFonts w:hAnsi="宋体"/>
          <w:color w:val="000000" w:themeColor="text1"/>
          <w:szCs w:val="24"/>
        </w:rPr>
        <w:t>受益人；</w:t>
      </w:r>
      <w:r>
        <w:rPr>
          <w:rFonts w:hAnsi="宋体" w:hint="eastAsia"/>
          <w:color w:val="000000" w:themeColor="text1"/>
          <w:szCs w:val="24"/>
        </w:rPr>
        <w:t>信托</w:t>
      </w:r>
      <w:r>
        <w:rPr>
          <w:rFonts w:hAnsi="宋体"/>
          <w:color w:val="000000" w:themeColor="text1"/>
          <w:szCs w:val="24"/>
        </w:rPr>
        <w:t>受益权转让后，为以受让或其他合法方式取得信托受益权的人。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受益人大会</w:t>
      </w:r>
      <w:r>
        <w:rPr>
          <w:b/>
          <w:color w:val="000000" w:themeColor="text1"/>
        </w:rPr>
        <w:t>：</w:t>
      </w:r>
      <w:r>
        <w:rPr>
          <w:color w:val="000000" w:themeColor="text1"/>
          <w:szCs w:val="24"/>
        </w:rPr>
        <w:t>指信托计划项下全体受益人组成的议事机构。</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受益权</w:t>
      </w:r>
      <w:r>
        <w:rPr>
          <w:b/>
          <w:color w:val="000000" w:themeColor="text1"/>
          <w:szCs w:val="24"/>
        </w:rPr>
        <w:t>/</w:t>
      </w:r>
      <w:r>
        <w:rPr>
          <w:b/>
          <w:color w:val="000000" w:themeColor="text1"/>
          <w:szCs w:val="24"/>
        </w:rPr>
        <w:t>信托受益权</w:t>
      </w:r>
      <w:r>
        <w:rPr>
          <w:b/>
          <w:color w:val="000000" w:themeColor="text1"/>
        </w:rPr>
        <w:t>：</w:t>
      </w:r>
      <w:r>
        <w:rPr>
          <w:color w:val="000000" w:themeColor="text1"/>
          <w:szCs w:val="24"/>
        </w:rPr>
        <w:t>指信托计划项下的受益人根据信托文件所享有的信托受益权。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信托单位</w:t>
      </w:r>
      <w:r>
        <w:rPr>
          <w:b/>
          <w:color w:val="000000" w:themeColor="text1"/>
        </w:rPr>
        <w:t>：</w:t>
      </w:r>
      <w:r>
        <w:rPr>
          <w:color w:val="000000" w:themeColor="text1"/>
          <w:szCs w:val="24"/>
        </w:rPr>
        <w:t>指用以表征信托计划项下</w:t>
      </w:r>
      <w:r>
        <w:rPr>
          <w:rFonts w:hint="eastAsia"/>
          <w:color w:val="000000" w:themeColor="text1"/>
          <w:szCs w:val="24"/>
        </w:rPr>
        <w:t>信托</w:t>
      </w:r>
      <w:r>
        <w:rPr>
          <w:color w:val="000000" w:themeColor="text1"/>
          <w:szCs w:val="24"/>
        </w:rPr>
        <w:t>受益权的均等份额</w:t>
      </w:r>
      <w:r>
        <w:rPr>
          <w:rFonts w:hint="eastAsia"/>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保管人</w:t>
      </w:r>
      <w:r>
        <w:rPr>
          <w:b/>
          <w:color w:val="000000" w:themeColor="text1"/>
          <w:szCs w:val="24"/>
        </w:rPr>
        <w:t>/</w:t>
      </w:r>
      <w:r>
        <w:rPr>
          <w:b/>
          <w:color w:val="000000" w:themeColor="text1"/>
          <w:szCs w:val="24"/>
        </w:rPr>
        <w:t>保管银行：</w:t>
      </w:r>
      <w:r>
        <w:rPr>
          <w:color w:val="000000" w:themeColor="text1"/>
          <w:szCs w:val="24"/>
        </w:rPr>
        <w:t>指</w:t>
      </w:r>
      <w:r>
        <w:rPr>
          <w:rFonts w:hint="eastAsia"/>
          <w:color w:val="000000" w:themeColor="text1"/>
          <w:szCs w:val="24"/>
        </w:rPr>
        <w:t>【中国建设银行股份有限公司河北省分行】及其权利义务合法继受人</w:t>
      </w:r>
      <w:r>
        <w:rPr>
          <w:color w:val="000000" w:themeColor="text1"/>
          <w:szCs w:val="24"/>
        </w:rPr>
        <w:t>。</w:t>
      </w:r>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bookmarkStart w:id="15" w:name="_Hlk55224284"/>
      <w:r>
        <w:rPr>
          <w:rFonts w:hint="eastAsia"/>
          <w:b/>
          <w:color w:val="000000" w:themeColor="text1"/>
          <w:szCs w:val="24"/>
        </w:rPr>
        <w:t>《保管协议》：</w:t>
      </w:r>
      <w:bookmarkStart w:id="16" w:name="_Hlk68095685"/>
      <w:r>
        <w:rPr>
          <w:rFonts w:hint="eastAsia"/>
          <w:color w:val="000000" w:themeColor="text1"/>
          <w:szCs w:val="24"/>
        </w:rPr>
        <w:t>指</w:t>
      </w:r>
      <w:bookmarkStart w:id="17" w:name="_Hlk24026650"/>
      <w:r>
        <w:rPr>
          <w:rFonts w:hint="eastAsia"/>
          <w:color w:val="000000" w:themeColor="text1"/>
          <w:szCs w:val="24"/>
        </w:rPr>
        <w:t>受托人和保管人签署的编号为【</w:t>
      </w:r>
      <w:r>
        <w:rPr>
          <w:rFonts w:ascii="宋体" w:hAnsi="宋体"/>
          <w:color w:val="000000"/>
        </w:rPr>
        <w:t>P2021M13A-WJ</w:t>
      </w:r>
      <w:r>
        <w:rPr>
          <w:rFonts w:ascii="宋体" w:hAnsi="宋体" w:hint="eastAsia"/>
          <w:color w:val="000000"/>
        </w:rPr>
        <w:t>2</w:t>
      </w:r>
      <w:r>
        <w:rPr>
          <w:rFonts w:ascii="宋体" w:hAnsi="宋体"/>
          <w:color w:val="000000"/>
        </w:rPr>
        <w:t>H-003</w:t>
      </w:r>
      <w:r>
        <w:rPr>
          <w:rFonts w:hint="eastAsia"/>
          <w:color w:val="000000" w:themeColor="text1"/>
          <w:szCs w:val="24"/>
        </w:rPr>
        <w:t>】的《</w:t>
      </w:r>
      <w:r>
        <w:rPr>
          <w:rFonts w:hAnsi="宋体" w:hint="eastAsia"/>
          <w:color w:val="000000"/>
        </w:rPr>
        <w:t>五矿信托磐石系列</w:t>
      </w:r>
      <w:r>
        <w:rPr>
          <w:rFonts w:hAnsi="宋体" w:hint="eastAsia"/>
          <w:color w:val="000000"/>
        </w:rPr>
        <w:t>-</w:t>
      </w:r>
      <w:r>
        <w:rPr>
          <w:rFonts w:hint="eastAsia"/>
          <w:color w:val="000000"/>
        </w:rPr>
        <w:t>建盈稳冀</w:t>
      </w:r>
      <w:r>
        <w:rPr>
          <w:rFonts w:hint="eastAsia"/>
          <w:color w:val="000000"/>
        </w:rPr>
        <w:t>2</w:t>
      </w:r>
      <w:r>
        <w:rPr>
          <w:rFonts w:hint="eastAsia"/>
          <w:color w:val="000000"/>
        </w:rPr>
        <w:t>号</w:t>
      </w:r>
      <w:r>
        <w:rPr>
          <w:rFonts w:hAnsi="宋体" w:hint="eastAsia"/>
          <w:color w:val="000000"/>
        </w:rPr>
        <w:t>集合资金信托计划保管协议</w:t>
      </w:r>
      <w:r>
        <w:rPr>
          <w:rFonts w:hint="eastAsia"/>
          <w:color w:val="000000" w:themeColor="text1"/>
          <w:szCs w:val="24"/>
        </w:rPr>
        <w:t>》以及</w:t>
      </w:r>
      <w:r>
        <w:rPr>
          <w:rFonts w:hint="eastAsia"/>
          <w:color w:val="000000" w:themeColor="text1"/>
        </w:rPr>
        <w:t>对</w:t>
      </w:r>
      <w:r>
        <w:rPr>
          <w:rFonts w:hint="eastAsia"/>
          <w:color w:val="000000" w:themeColor="text1"/>
          <w:szCs w:val="24"/>
        </w:rPr>
        <w:t>该等合同</w:t>
      </w:r>
      <w:r>
        <w:rPr>
          <w:rFonts w:hint="eastAsia"/>
          <w:color w:val="000000" w:themeColor="text1"/>
        </w:rPr>
        <w:t>的任何有效修订和补充</w:t>
      </w:r>
      <w:bookmarkEnd w:id="17"/>
      <w:r>
        <w:rPr>
          <w:rFonts w:hint="eastAsia"/>
          <w:color w:val="000000" w:themeColor="text1"/>
          <w:szCs w:val="24"/>
        </w:rPr>
        <w:t>。</w:t>
      </w:r>
      <w:bookmarkEnd w:id="16"/>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bookmarkStart w:id="18" w:name="_Hlk68113137"/>
      <w:r>
        <w:rPr>
          <w:rFonts w:hint="eastAsia"/>
          <w:b/>
          <w:bCs/>
          <w:color w:val="000000" w:themeColor="text1"/>
          <w:szCs w:val="24"/>
        </w:rPr>
        <w:t>推介服务代理人</w:t>
      </w:r>
      <w:bookmarkEnd w:id="18"/>
      <w:r>
        <w:rPr>
          <w:rFonts w:hint="eastAsia"/>
          <w:b/>
          <w:bCs/>
          <w:color w:val="000000" w:themeColor="text1"/>
          <w:szCs w:val="24"/>
        </w:rPr>
        <w:t>/</w:t>
      </w:r>
      <w:r>
        <w:rPr>
          <w:rFonts w:hint="eastAsia"/>
          <w:b/>
          <w:bCs/>
          <w:color w:val="000000" w:themeColor="text1"/>
          <w:szCs w:val="24"/>
        </w:rPr>
        <w:t>代销机构</w:t>
      </w:r>
      <w:r>
        <w:rPr>
          <w:rFonts w:hint="eastAsia"/>
          <w:b/>
          <w:bCs/>
          <w:color w:val="000000" w:themeColor="text1"/>
          <w:szCs w:val="24"/>
        </w:rPr>
        <w:t>/</w:t>
      </w:r>
      <w:r>
        <w:rPr>
          <w:rFonts w:hint="eastAsia"/>
          <w:b/>
          <w:bCs/>
          <w:color w:val="000000" w:themeColor="text1"/>
          <w:szCs w:val="24"/>
        </w:rPr>
        <w:t>代理收付机构：</w:t>
      </w:r>
      <w:r>
        <w:rPr>
          <w:rFonts w:hint="eastAsia"/>
          <w:color w:val="000000" w:themeColor="text1"/>
          <w:szCs w:val="24"/>
        </w:rPr>
        <w:t>指</w:t>
      </w:r>
      <w:bookmarkStart w:id="19" w:name="_Hlk75981016"/>
      <w:bookmarkStart w:id="20" w:name="_Hlk75981120"/>
      <w:r>
        <w:rPr>
          <w:rFonts w:hint="eastAsia"/>
          <w:color w:val="000000" w:themeColor="text1"/>
          <w:szCs w:val="24"/>
        </w:rPr>
        <w:t>中国建设银行股份有限公司河北省分行</w:t>
      </w:r>
      <w:bookmarkStart w:id="21" w:name="_Hlk75981029"/>
      <w:bookmarkEnd w:id="19"/>
      <w:bookmarkEnd w:id="20"/>
      <w:r>
        <w:rPr>
          <w:rFonts w:hint="eastAsia"/>
          <w:color w:val="000000" w:themeColor="text1"/>
          <w:szCs w:val="24"/>
        </w:rPr>
        <w:t>及其</w:t>
      </w:r>
      <w:bookmarkEnd w:id="21"/>
      <w:r>
        <w:rPr>
          <w:rFonts w:hint="eastAsia"/>
          <w:color w:val="000000" w:themeColor="text1"/>
          <w:szCs w:val="24"/>
        </w:rPr>
        <w:t>权利义务</w:t>
      </w:r>
      <w:r>
        <w:rPr>
          <w:rFonts w:ascii="宋体" w:hAnsi="宋体" w:hint="eastAsia"/>
          <w:color w:val="000000"/>
        </w:rPr>
        <w:t>合法继受人。代销机构仅为代理资金收付银行和信托计划推介银行，仅负责信托计划的资金收付和信托计划推介工作，不为信托计划垫付任何资金、不承担信托计划可能产生的任何风险。</w:t>
      </w:r>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b/>
          <w:bCs/>
          <w:color w:val="000000" w:themeColor="text1"/>
          <w:szCs w:val="24"/>
        </w:rPr>
      </w:pPr>
      <w:r>
        <w:rPr>
          <w:rFonts w:hint="eastAsia"/>
          <w:b/>
          <w:bCs/>
          <w:color w:val="000000" w:themeColor="text1"/>
          <w:szCs w:val="24"/>
        </w:rPr>
        <w:t>《代理推介合作协议》：</w:t>
      </w:r>
      <w:r>
        <w:rPr>
          <w:rFonts w:hint="eastAsia"/>
          <w:color w:val="000000" w:themeColor="text1"/>
          <w:szCs w:val="24"/>
        </w:rPr>
        <w:t>指受托人和推介服务代理人签署的编号为【</w:t>
      </w:r>
      <w:bookmarkStart w:id="22" w:name="_Hlk82446421"/>
      <w:r>
        <w:rPr>
          <w:color w:val="000000" w:themeColor="text1"/>
          <w:szCs w:val="24"/>
        </w:rPr>
        <w:t>P2021M13A-WJ1H-002</w:t>
      </w:r>
      <w:bookmarkEnd w:id="22"/>
      <w:r>
        <w:rPr>
          <w:rFonts w:hint="eastAsia"/>
          <w:color w:val="000000" w:themeColor="text1"/>
          <w:szCs w:val="24"/>
        </w:rPr>
        <w:t>】的《代理资金信托计划资金收付业务协议》及其有效修订和补充。</w:t>
      </w:r>
      <w:bookmarkEnd w:id="15"/>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信托计划成立日：</w:t>
      </w:r>
      <w:r>
        <w:rPr>
          <w:rFonts w:hint="eastAsia"/>
          <w:color w:val="000000" w:themeColor="text1"/>
          <w:szCs w:val="24"/>
        </w:rPr>
        <w:t>指信托计划按照信托合同的约定成立之日。</w:t>
      </w:r>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信托计划终止日：</w:t>
      </w:r>
      <w:r>
        <w:rPr>
          <w:rFonts w:hint="eastAsia"/>
          <w:color w:val="000000" w:themeColor="text1"/>
          <w:szCs w:val="24"/>
        </w:rPr>
        <w:t>指信托计划按照信托合同的约定终止之日（含期限届满终止、提前终止和延期终止，下同）。</w:t>
      </w:r>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开放日：</w:t>
      </w:r>
      <w:bookmarkStart w:id="23" w:name="_Hlk75981134"/>
      <w:bookmarkStart w:id="24" w:name="_Hlk54974089"/>
      <w:r>
        <w:rPr>
          <w:rFonts w:hint="eastAsia"/>
          <w:color w:val="000000" w:themeColor="text1"/>
          <w:szCs w:val="24"/>
        </w:rPr>
        <w:t>指委托人可以申购和赎回信托单位（但</w:t>
      </w:r>
      <w:bookmarkStart w:id="25" w:name="_Hlk91086880"/>
      <w:r>
        <w:rPr>
          <w:rFonts w:hint="eastAsia"/>
          <w:color w:val="000000" w:themeColor="text1"/>
          <w:szCs w:val="24"/>
        </w:rPr>
        <w:t>除本合同另有约定外</w:t>
      </w:r>
      <w:bookmarkEnd w:id="25"/>
      <w:r>
        <w:rPr>
          <w:rFonts w:hint="eastAsia"/>
          <w:color w:val="000000" w:themeColor="text1"/>
          <w:szCs w:val="24"/>
        </w:rPr>
        <w:t>，处于锁定期内的信托单位不得赎回）的日期，包括固定开放日和临时开放日。就某份信托单位而言，该份信托单位的固定开放日为该份信托单位的锁定期届</w:t>
      </w:r>
      <w:r>
        <w:rPr>
          <w:rFonts w:hint="eastAsia"/>
          <w:color w:val="000000" w:themeColor="text1"/>
          <w:szCs w:val="24"/>
        </w:rPr>
        <w:t>满之日。如某个固定开放日为非交易日的，则当个固定开放日顺延至下一个交易日。委托人可以在每个</w:t>
      </w:r>
      <w:r>
        <w:rPr>
          <w:rFonts w:hint="eastAsia"/>
          <w:color w:val="000000"/>
        </w:rPr>
        <w:t>固定开放日</w:t>
      </w:r>
      <w:r>
        <w:rPr>
          <w:rFonts w:hint="eastAsia"/>
          <w:color w:val="000000" w:themeColor="text1"/>
          <w:szCs w:val="24"/>
        </w:rPr>
        <w:t>申购信托单位，且</w:t>
      </w:r>
      <w:r>
        <w:rPr>
          <w:rFonts w:hint="eastAsia"/>
          <w:color w:val="000000"/>
        </w:rPr>
        <w:t>受益人所持有的信托单位于该等信托单位所对应的固定开放日全部自动赎回。信托</w:t>
      </w:r>
      <w:r>
        <w:rPr>
          <w:rFonts w:hint="eastAsia"/>
          <w:color w:val="000000"/>
        </w:rPr>
        <w:lastRenderedPageBreak/>
        <w:t>计划成立后，受托人有权设立临时开放日接受委托人申购和</w:t>
      </w:r>
      <w:r>
        <w:rPr>
          <w:rFonts w:hint="eastAsia"/>
          <w:color w:val="000000"/>
        </w:rPr>
        <w:t>/</w:t>
      </w:r>
      <w:r>
        <w:rPr>
          <w:rFonts w:hint="eastAsia"/>
          <w:color w:val="000000"/>
        </w:rPr>
        <w:t>或赎回信托单位的申请，临时开放日及届时实施的申购</w:t>
      </w:r>
      <w:r>
        <w:rPr>
          <w:rFonts w:hint="eastAsia"/>
          <w:color w:val="000000"/>
        </w:rPr>
        <w:t>/</w:t>
      </w:r>
      <w:r>
        <w:rPr>
          <w:rFonts w:hint="eastAsia"/>
          <w:color w:val="000000"/>
        </w:rPr>
        <w:t>赎回方案具体以受托人提前在其官方网站向投资者披露的为准</w:t>
      </w:r>
      <w:bookmarkEnd w:id="23"/>
      <w:r>
        <w:rPr>
          <w:rFonts w:hint="eastAsia"/>
          <w:color w:val="000000"/>
        </w:rPr>
        <w:t>。</w:t>
      </w:r>
      <w:bookmarkEnd w:id="24"/>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锁定期：</w:t>
      </w:r>
      <w:bookmarkStart w:id="26" w:name="_Hlk91089246"/>
      <w:r>
        <w:rPr>
          <w:rFonts w:hint="eastAsia"/>
          <w:color w:val="000000"/>
        </w:rPr>
        <w:t>每份信托单位分别设置锁定期，</w:t>
      </w:r>
      <w:bookmarkEnd w:id="26"/>
      <w:r>
        <w:rPr>
          <w:rFonts w:hint="eastAsia"/>
          <w:color w:val="000000"/>
        </w:rPr>
        <w:t>就某份信托单位而言，该份信托单位的锁定期指自该份信托单位的认购（申购）确认日（含）起至自该日起满</w:t>
      </w:r>
      <w:r>
        <w:rPr>
          <w:color w:val="000000"/>
        </w:rPr>
        <w:t>12</w:t>
      </w:r>
      <w:r>
        <w:rPr>
          <w:rFonts w:hint="eastAsia"/>
          <w:color w:val="000000"/>
        </w:rPr>
        <w:t>个月之日（含）止的期间。</w:t>
      </w:r>
    </w:p>
    <w:p w:rsidR="00066166" w:rsidRDefault="00F62BD0">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估值日：</w:t>
      </w:r>
      <w:r>
        <w:rPr>
          <w:rFonts w:hint="eastAsia"/>
          <w:color w:val="000000" w:themeColor="text1"/>
          <w:szCs w:val="24"/>
        </w:rPr>
        <w:t>指受托人按照信托合同约定的估值方法对信托财产进行估值的日期，即信托计划存续期间的每个</w:t>
      </w:r>
      <w:r>
        <w:rPr>
          <w:rFonts w:hint="eastAsia"/>
          <w:iCs/>
          <w:color w:val="000000" w:themeColor="text1"/>
          <w:szCs w:val="24"/>
        </w:rPr>
        <w:t>交易日及信托计划终止日</w:t>
      </w:r>
      <w:r>
        <w:rPr>
          <w:rFonts w:hint="eastAsia"/>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bookmarkStart w:id="27" w:name="_Hlk47951674"/>
      <w:r>
        <w:rPr>
          <w:rFonts w:hint="eastAsia"/>
          <w:b/>
          <w:bCs/>
          <w:color w:val="000000" w:themeColor="text1"/>
          <w:szCs w:val="24"/>
        </w:rPr>
        <w:t>认购（申购）资金</w:t>
      </w:r>
      <w:r>
        <w:rPr>
          <w:rFonts w:hint="eastAsia"/>
          <w:b/>
          <w:bCs/>
          <w:color w:val="000000" w:themeColor="text1"/>
          <w:szCs w:val="24"/>
        </w:rPr>
        <w:t>/</w:t>
      </w:r>
      <w:bookmarkEnd w:id="27"/>
      <w:r>
        <w:rPr>
          <w:b/>
          <w:bCs/>
          <w:color w:val="000000" w:themeColor="text1"/>
          <w:szCs w:val="24"/>
        </w:rPr>
        <w:t>信托</w:t>
      </w:r>
      <w:r>
        <w:rPr>
          <w:b/>
          <w:color w:val="000000" w:themeColor="text1"/>
          <w:szCs w:val="24"/>
        </w:rPr>
        <w:t>资金</w:t>
      </w:r>
      <w:r>
        <w:rPr>
          <w:b/>
          <w:color w:val="000000" w:themeColor="text1"/>
          <w:szCs w:val="24"/>
        </w:rPr>
        <w:t>/</w:t>
      </w:r>
      <w:r>
        <w:rPr>
          <w:b/>
          <w:color w:val="000000" w:themeColor="text1"/>
          <w:szCs w:val="24"/>
        </w:rPr>
        <w:t>信托本金</w:t>
      </w:r>
      <w:r>
        <w:rPr>
          <w:b/>
          <w:color w:val="000000" w:themeColor="text1"/>
        </w:rPr>
        <w:t>：</w:t>
      </w:r>
      <w:r>
        <w:rPr>
          <w:rFonts w:hAnsi="宋体"/>
          <w:bCs/>
          <w:color w:val="000000" w:themeColor="text1"/>
        </w:rPr>
        <w:t>指委托人向受托人</w:t>
      </w:r>
      <w:r>
        <w:rPr>
          <w:rFonts w:hAnsi="宋体" w:hint="eastAsia"/>
          <w:color w:val="000000" w:themeColor="text1"/>
        </w:rPr>
        <w:t>交付的</w:t>
      </w:r>
      <w:r>
        <w:rPr>
          <w:rFonts w:hAnsi="宋体"/>
          <w:bCs/>
          <w:color w:val="000000" w:themeColor="text1"/>
        </w:rPr>
        <w:t>用于</w:t>
      </w:r>
      <w:r>
        <w:rPr>
          <w:rFonts w:hAnsi="宋体" w:hint="eastAsia"/>
          <w:color w:val="000000" w:themeColor="text1"/>
        </w:rPr>
        <w:t>认购（申购）</w:t>
      </w:r>
      <w:r>
        <w:rPr>
          <w:rFonts w:hAnsi="宋体"/>
          <w:bCs/>
          <w:color w:val="000000" w:themeColor="text1"/>
        </w:rPr>
        <w:t>信托单位的资金</w:t>
      </w:r>
      <w:r>
        <w:rPr>
          <w:color w:val="000000" w:themeColor="text1"/>
          <w:szCs w:val="24"/>
        </w:rPr>
        <w:t>。</w:t>
      </w:r>
      <w:r>
        <w:rPr>
          <w:rFonts w:hint="eastAsia"/>
          <w:color w:val="000000" w:themeColor="text1"/>
          <w:szCs w:val="24"/>
        </w:rPr>
        <w:t>本合同中所述信托本金不构成受托人对受益人做出的保本及最低收益承诺。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信托财产</w:t>
      </w:r>
      <w:r>
        <w:rPr>
          <w:b/>
          <w:color w:val="000000" w:themeColor="text1"/>
        </w:rPr>
        <w:t>：</w:t>
      </w:r>
      <w:r>
        <w:rPr>
          <w:color w:val="000000" w:themeColor="text1"/>
          <w:szCs w:val="24"/>
        </w:rPr>
        <w:t>指信托资金及受托人按信托文件约定对信托资金进行管理、运用、处分或者因其他情形而取得的财产。</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信托利益：</w:t>
      </w:r>
      <w:r>
        <w:rPr>
          <w:color w:val="000000" w:themeColor="text1"/>
          <w:szCs w:val="24"/>
        </w:rPr>
        <w:t>指受托人管理、运用和处分信托财产取得的收入，在扣除应由信托财产承担的信托费用、应缴纳的税费及对第三人的负债后的剩余部分；信托利益扣除信托资金之后即为信托收益（或有）。</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信托财产总值：</w:t>
      </w:r>
      <w:r>
        <w:rPr>
          <w:rFonts w:hAnsi="宋体"/>
          <w:bCs/>
          <w:color w:val="000000" w:themeColor="text1"/>
        </w:rPr>
        <w:t>指</w:t>
      </w:r>
      <w:r>
        <w:rPr>
          <w:rFonts w:hint="eastAsia"/>
          <w:color w:val="000000" w:themeColor="text1"/>
          <w:szCs w:val="24"/>
        </w:rPr>
        <w:t>截至某一估值日按信托文件约定的估值方法计算的信托财产的价值总和</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bCs/>
          <w:color w:val="000000" w:themeColor="text1"/>
        </w:rPr>
        <w:t>信托财产净值：</w:t>
      </w:r>
      <w:r>
        <w:rPr>
          <w:rFonts w:hAnsi="宋体"/>
          <w:bCs/>
          <w:color w:val="000000" w:themeColor="text1"/>
        </w:rPr>
        <w:t>指</w:t>
      </w:r>
      <w:r>
        <w:rPr>
          <w:rFonts w:hint="eastAsia"/>
          <w:color w:val="000000" w:themeColor="text1"/>
          <w:szCs w:val="24"/>
        </w:rPr>
        <w:t>截至某一估值日信托财产总值减去信托税收、已计提未支付的各项信托费用（包括但不限于已计提未支付的固定信托受托管理费、固定代理推介费、浮动代理推介费、保管费）及其他信托计划负债后的余额</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信托单位净值：</w:t>
      </w:r>
      <w:r>
        <w:rPr>
          <w:rFonts w:hint="eastAsia"/>
          <w:color w:val="000000" w:themeColor="text1"/>
          <w:szCs w:val="24"/>
        </w:rPr>
        <w:t>指某一估值日信托财产净值与该估值日信托单位总份数之比，其计算公式为：信托单位净值</w:t>
      </w:r>
      <w:r>
        <w:rPr>
          <w:rFonts w:hint="eastAsia"/>
          <w:color w:val="000000" w:themeColor="text1"/>
          <w:szCs w:val="24"/>
        </w:rPr>
        <w:t>=</w:t>
      </w:r>
      <w:r>
        <w:rPr>
          <w:rFonts w:hint="eastAsia"/>
          <w:color w:val="000000" w:themeColor="text1"/>
          <w:szCs w:val="24"/>
        </w:rPr>
        <w:t>信托财产净值÷信托单位总份数，其结果以元为单位，采用四舍五入的方法精确到小数点后</w:t>
      </w:r>
      <w:r>
        <w:rPr>
          <w:rFonts w:hint="eastAsia"/>
          <w:color w:val="000000" w:themeColor="text1"/>
          <w:szCs w:val="24"/>
        </w:rPr>
        <w:t>4</w:t>
      </w:r>
      <w:r>
        <w:rPr>
          <w:rFonts w:hint="eastAsia"/>
          <w:color w:val="000000" w:themeColor="text1"/>
          <w:szCs w:val="24"/>
        </w:rPr>
        <w:t>位（即精确到</w:t>
      </w:r>
      <w:r>
        <w:rPr>
          <w:rFonts w:hint="eastAsia"/>
          <w:color w:val="000000" w:themeColor="text1"/>
          <w:szCs w:val="24"/>
        </w:rPr>
        <w:t>0.0001</w:t>
      </w:r>
      <w:r>
        <w:rPr>
          <w:rFonts w:hint="eastAsia"/>
          <w:color w:val="000000" w:themeColor="text1"/>
          <w:szCs w:val="24"/>
        </w:rPr>
        <w:t>），由此产生的损益归入信托财产。</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浮动报酬计提基准：</w:t>
      </w:r>
      <w:r>
        <w:rPr>
          <w:rFonts w:hint="eastAsia"/>
          <w:color w:val="000000" w:themeColor="text1"/>
          <w:szCs w:val="24"/>
        </w:rPr>
        <w:t>指</w:t>
      </w:r>
      <w:r>
        <w:rPr>
          <w:rFonts w:hint="eastAsia"/>
          <w:bCs/>
          <w:color w:val="000000" w:themeColor="text1"/>
          <w:szCs w:val="24"/>
        </w:rPr>
        <w:t>仅为本信托计划衡量和计算浮动代理推介费方便而设定的浮动报酬计提基准，并不代表受托人或其他任何第三方对信托收益</w:t>
      </w:r>
      <w:r>
        <w:rPr>
          <w:rFonts w:hint="eastAsia"/>
          <w:bCs/>
          <w:color w:val="000000" w:themeColor="text1"/>
          <w:szCs w:val="24"/>
        </w:rPr>
        <w:lastRenderedPageBreak/>
        <w:t>的承诺或保证，本信托计划不承诺保本和最低收益。</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信托专户</w:t>
      </w:r>
      <w:r>
        <w:rPr>
          <w:rFonts w:hint="eastAsia"/>
          <w:b/>
          <w:color w:val="000000" w:themeColor="text1"/>
          <w:szCs w:val="24"/>
        </w:rPr>
        <w:t>/</w:t>
      </w:r>
      <w:r>
        <w:rPr>
          <w:b/>
          <w:color w:val="000000" w:themeColor="text1"/>
          <w:szCs w:val="24"/>
        </w:rPr>
        <w:t>信托财产专户</w:t>
      </w:r>
      <w:r>
        <w:rPr>
          <w:b/>
          <w:color w:val="000000" w:themeColor="text1"/>
        </w:rPr>
        <w:t>：</w:t>
      </w:r>
      <w:bookmarkStart w:id="28" w:name="_Hlk5212014"/>
      <w:r>
        <w:rPr>
          <w:color w:val="000000" w:themeColor="text1"/>
          <w:szCs w:val="24"/>
        </w:rPr>
        <w:t>指受托人专门为信托计划在保管人处开立的人民币银行结算账户</w:t>
      </w:r>
      <w:r>
        <w:rPr>
          <w:rFonts w:ascii="仿宋_GB2312" w:hint="eastAsia"/>
          <w:color w:val="000000" w:themeColor="text1"/>
        </w:rPr>
        <w:t>。</w:t>
      </w:r>
      <w:bookmarkEnd w:id="28"/>
    </w:p>
    <w:p w:rsidR="00066166" w:rsidRDefault="00F62BD0">
      <w:pPr>
        <w:pStyle w:val="NormalJustified"/>
        <w:widowControl w:val="0"/>
        <w:numPr>
          <w:ilvl w:val="2"/>
          <w:numId w:val="4"/>
        </w:numPr>
        <w:tabs>
          <w:tab w:val="left" w:pos="720"/>
        </w:tabs>
        <w:spacing w:beforeLines="100" w:before="312" w:afterLines="100" w:after="312" w:line="300" w:lineRule="auto"/>
        <w:ind w:left="720" w:hanging="720"/>
        <w:rPr>
          <w:b/>
          <w:color w:val="000000" w:themeColor="text1"/>
          <w:szCs w:val="24"/>
        </w:rPr>
      </w:pPr>
      <w:r>
        <w:rPr>
          <w:rFonts w:hint="eastAsia"/>
          <w:b/>
          <w:color w:val="000000" w:themeColor="text1"/>
          <w:szCs w:val="24"/>
        </w:rPr>
        <w:t>募集账户</w:t>
      </w:r>
      <w:bookmarkStart w:id="29" w:name="_Hlk75981217"/>
      <w:r>
        <w:rPr>
          <w:rFonts w:hint="eastAsia"/>
          <w:b/>
          <w:color w:val="000000" w:themeColor="text1"/>
          <w:szCs w:val="24"/>
        </w:rPr>
        <w:t>（如有）</w:t>
      </w:r>
      <w:bookmarkEnd w:id="29"/>
      <w:r>
        <w:rPr>
          <w:rFonts w:hint="eastAsia"/>
          <w:b/>
          <w:color w:val="000000" w:themeColor="text1"/>
          <w:szCs w:val="24"/>
        </w:rPr>
        <w:t>：</w:t>
      </w:r>
      <w:r>
        <w:rPr>
          <w:rFonts w:hint="eastAsia"/>
          <w:color w:val="000000" w:themeColor="text1"/>
          <w:szCs w:val="24"/>
        </w:rPr>
        <w:t>指受托人为募集资金之用而为信托计划开立的专门账户，用于汇集信托计划推介期内或信托计划存续期间的各开放日对应的到账截止时间前投资者交付的认购</w:t>
      </w:r>
      <w:r>
        <w:rPr>
          <w:rFonts w:hint="eastAsia"/>
          <w:color w:val="000000" w:themeColor="text1"/>
          <w:szCs w:val="24"/>
        </w:rPr>
        <w:t>/</w:t>
      </w:r>
      <w:r>
        <w:rPr>
          <w:rFonts w:hint="eastAsia"/>
          <w:color w:val="000000" w:themeColor="text1"/>
          <w:szCs w:val="24"/>
        </w:rPr>
        <w:t>申购资金、认购（申购）费用（如有）。</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信托利益分配账户：</w:t>
      </w:r>
      <w:r>
        <w:rPr>
          <w:rFonts w:hAnsi="宋体" w:hint="eastAsia"/>
          <w:color w:val="000000" w:themeColor="text1"/>
        </w:rPr>
        <w:t>指</w:t>
      </w:r>
      <w:r>
        <w:rPr>
          <w:rFonts w:hAnsi="宋体"/>
          <w:bCs/>
          <w:color w:val="000000" w:themeColor="text1"/>
        </w:rPr>
        <w:t>受益人指定的用于接收</w:t>
      </w:r>
      <w:r>
        <w:rPr>
          <w:rFonts w:hAnsi="宋体" w:hint="eastAsia"/>
          <w:color w:val="000000" w:themeColor="text1"/>
        </w:rPr>
        <w:t>受托人</w:t>
      </w:r>
      <w:r>
        <w:rPr>
          <w:rFonts w:hAnsi="宋体"/>
          <w:bCs/>
          <w:color w:val="000000" w:themeColor="text1"/>
        </w:rPr>
        <w:t>分配的</w:t>
      </w:r>
      <w:r>
        <w:rPr>
          <w:rFonts w:hAnsi="宋体" w:hint="eastAsia"/>
          <w:color w:val="000000" w:themeColor="text1"/>
        </w:rPr>
        <w:t>信托</w:t>
      </w:r>
      <w:r>
        <w:rPr>
          <w:rFonts w:hAnsi="宋体"/>
          <w:bCs/>
          <w:color w:val="000000" w:themeColor="text1"/>
        </w:rPr>
        <w:t>利益</w:t>
      </w:r>
      <w:r>
        <w:rPr>
          <w:rFonts w:hAnsi="宋体" w:hint="eastAsia"/>
          <w:color w:val="000000" w:themeColor="text1"/>
        </w:rPr>
        <w:t>的</w:t>
      </w:r>
      <w:r>
        <w:rPr>
          <w:rFonts w:hAnsi="宋体"/>
          <w:bCs/>
          <w:color w:val="000000" w:themeColor="text1"/>
        </w:rPr>
        <w:t>人民币银行结算</w:t>
      </w:r>
      <w:r>
        <w:rPr>
          <w:rFonts w:hAnsi="宋体" w:hint="eastAsia"/>
          <w:color w:val="000000" w:themeColor="text1"/>
        </w:rPr>
        <w:t>账户，具体以《认购（申购）条款》</w:t>
      </w:r>
      <w:r>
        <w:rPr>
          <w:rFonts w:hAnsi="宋体" w:hint="eastAsia"/>
          <w:color w:val="000000" w:themeColor="text1"/>
        </w:rPr>
        <w:t>/</w:t>
      </w:r>
      <w:r>
        <w:rPr>
          <w:rFonts w:hAnsi="宋体" w:hint="eastAsia"/>
          <w:color w:val="000000" w:themeColor="text1"/>
        </w:rPr>
        <w:t>《申购申请表》为准</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认购：</w:t>
      </w:r>
      <w:r>
        <w:rPr>
          <w:rFonts w:hAnsi="宋体"/>
          <w:bCs/>
          <w:color w:val="000000" w:themeColor="text1"/>
        </w:rPr>
        <w:t>指</w:t>
      </w:r>
      <w:r>
        <w:rPr>
          <w:rFonts w:hAnsi="宋体" w:hint="eastAsia"/>
          <w:bCs/>
          <w:color w:val="000000" w:themeColor="text1"/>
        </w:rPr>
        <w:t>投资者在</w:t>
      </w:r>
      <w:r>
        <w:rPr>
          <w:rFonts w:hAnsi="宋体" w:hint="eastAsia"/>
          <w:color w:val="000000" w:themeColor="text1"/>
        </w:rPr>
        <w:t>信托计划推介期内</w:t>
      </w:r>
      <w:r>
        <w:rPr>
          <w:rFonts w:hAnsi="宋体"/>
          <w:bCs/>
          <w:color w:val="000000" w:themeColor="text1"/>
        </w:rPr>
        <w:t>按照信托合同的约定购买信托单位的行为</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申购：</w:t>
      </w:r>
      <w:r>
        <w:rPr>
          <w:rFonts w:hAnsi="宋体"/>
          <w:bCs/>
          <w:color w:val="000000" w:themeColor="text1"/>
        </w:rPr>
        <w:t>指</w:t>
      </w:r>
      <w:r>
        <w:rPr>
          <w:rFonts w:hAnsi="宋体" w:hint="eastAsia"/>
          <w:bCs/>
          <w:color w:val="000000" w:themeColor="text1"/>
        </w:rPr>
        <w:t>投资者在</w:t>
      </w:r>
      <w:r>
        <w:rPr>
          <w:rFonts w:hAnsi="宋体"/>
          <w:bCs/>
          <w:color w:val="000000" w:themeColor="text1"/>
        </w:rPr>
        <w:t>信托计划</w:t>
      </w:r>
      <w:r>
        <w:rPr>
          <w:rFonts w:hAnsi="宋体" w:hint="eastAsia"/>
          <w:bCs/>
          <w:color w:val="000000" w:themeColor="text1"/>
        </w:rPr>
        <w:t>成立后</w:t>
      </w:r>
      <w:r>
        <w:rPr>
          <w:rFonts w:hAnsi="宋体"/>
          <w:bCs/>
          <w:color w:val="000000" w:themeColor="text1"/>
        </w:rPr>
        <w:t>按照信托合同的约定购买信托单位的行为</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Ansi="宋体" w:hint="eastAsia"/>
          <w:b/>
          <w:color w:val="000000" w:themeColor="text1"/>
        </w:rPr>
        <w:t>认购（申购）日</w:t>
      </w:r>
      <w:r>
        <w:rPr>
          <w:rFonts w:hAnsi="宋体" w:hint="eastAsia"/>
          <w:color w:val="000000" w:themeColor="text1"/>
        </w:rPr>
        <w:t>：就投资者于信托计划推介期认购的信托单位而言，认购日为信托计划成立日；就投资者于信托计划存续期间各开放日申购的信托单位而言，申购日为投资者申购该信托单位的开放日。</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Ansi="宋体" w:hint="eastAsia"/>
          <w:b/>
          <w:color w:val="000000" w:themeColor="text1"/>
        </w:rPr>
        <w:t>认购（申购）确认日</w:t>
      </w:r>
      <w:r>
        <w:rPr>
          <w:rFonts w:hAnsi="宋体" w:hint="eastAsia"/>
          <w:color w:val="000000" w:themeColor="text1"/>
        </w:rPr>
        <w:t>：指</w:t>
      </w:r>
      <w:r>
        <w:rPr>
          <w:rFonts w:hint="eastAsia"/>
          <w:color w:val="000000" w:themeColor="text1"/>
          <w:szCs w:val="24"/>
        </w:rPr>
        <w:t>受</w:t>
      </w:r>
      <w:r>
        <w:rPr>
          <w:rFonts w:hAnsi="宋体" w:hint="eastAsia"/>
          <w:bCs/>
          <w:color w:val="000000" w:themeColor="text1"/>
        </w:rPr>
        <w:t>托人</w:t>
      </w:r>
      <w:r>
        <w:rPr>
          <w:rFonts w:hint="eastAsia"/>
          <w:color w:val="000000" w:themeColor="text1"/>
          <w:szCs w:val="24"/>
        </w:rPr>
        <w:t>确认投资者是否认购</w:t>
      </w:r>
      <w:r>
        <w:rPr>
          <w:color w:val="000000" w:themeColor="text1"/>
          <w:szCs w:val="24"/>
        </w:rPr>
        <w:t>/</w:t>
      </w:r>
      <w:r>
        <w:rPr>
          <w:rFonts w:hint="eastAsia"/>
          <w:color w:val="000000" w:themeColor="text1"/>
          <w:szCs w:val="24"/>
        </w:rPr>
        <w:t>申购成功的当日，本合同项下申购确认日为</w:t>
      </w:r>
      <w:bookmarkStart w:id="30" w:name="_Hlk75981240"/>
      <w:r>
        <w:rPr>
          <w:rFonts w:hAnsi="宋体" w:hint="eastAsia"/>
          <w:bCs/>
          <w:iCs/>
          <w:color w:val="000000" w:themeColor="text1"/>
        </w:rPr>
        <w:t>开放日</w:t>
      </w:r>
      <w:r>
        <w:rPr>
          <w:rFonts w:hint="eastAsia"/>
          <w:iCs/>
          <w:color w:val="000000" w:themeColor="text1"/>
          <w:szCs w:val="24"/>
        </w:rPr>
        <w:t>后第</w:t>
      </w:r>
      <w:r>
        <w:rPr>
          <w:rFonts w:hint="eastAsia"/>
          <w:iCs/>
          <w:color w:val="000000" w:themeColor="text1"/>
          <w:szCs w:val="24"/>
        </w:rPr>
        <w:t>1</w:t>
      </w:r>
      <w:r>
        <w:rPr>
          <w:rFonts w:hint="eastAsia"/>
          <w:iCs/>
          <w:color w:val="000000" w:themeColor="text1"/>
          <w:szCs w:val="24"/>
        </w:rPr>
        <w:t>个交易日</w:t>
      </w:r>
      <w:r>
        <w:rPr>
          <w:rFonts w:hint="eastAsia"/>
          <w:color w:val="000000" w:themeColor="text1"/>
          <w:szCs w:val="24"/>
        </w:rPr>
        <w:t>。</w:t>
      </w:r>
      <w:bookmarkEnd w:id="30"/>
      <w:r>
        <w:rPr>
          <w:rFonts w:hint="eastAsia"/>
          <w:color w:val="000000" w:themeColor="text1"/>
          <w:szCs w:val="24"/>
        </w:rPr>
        <w:t>认购确认日为信托计划成立日。</w:t>
      </w:r>
      <w:r>
        <w:rPr>
          <w:rFonts w:hint="eastAsia"/>
          <w:color w:val="000000" w:themeColor="text1"/>
        </w:rPr>
        <w:t>投资者交付的认购（申购</w:t>
      </w:r>
      <w:r>
        <w:rPr>
          <w:rFonts w:hAnsi="宋体" w:hint="eastAsia"/>
          <w:color w:val="000000" w:themeColor="text1"/>
        </w:rPr>
        <w:t>）资金于认购（申购）确认日计入信托财产</w:t>
      </w:r>
      <w:r>
        <w:rPr>
          <w:rFonts w:hint="eastAsia"/>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赎回：</w:t>
      </w:r>
      <w:r>
        <w:rPr>
          <w:rFonts w:hAnsi="宋体"/>
          <w:bCs/>
          <w:color w:val="000000" w:themeColor="text1"/>
        </w:rPr>
        <w:t>指</w:t>
      </w:r>
      <w:r>
        <w:rPr>
          <w:rFonts w:hAnsi="宋体" w:hint="eastAsia"/>
          <w:color w:val="000000" w:themeColor="text1"/>
        </w:rPr>
        <w:t>信托计划存续</w:t>
      </w:r>
      <w:r>
        <w:rPr>
          <w:rFonts w:hAnsi="宋体"/>
          <w:bCs/>
          <w:color w:val="000000" w:themeColor="text1"/>
        </w:rPr>
        <w:t>期内受益人按照信托合同的约定向受托人</w:t>
      </w:r>
      <w:r>
        <w:rPr>
          <w:rFonts w:hAnsi="宋体" w:hint="eastAsia"/>
          <w:bCs/>
          <w:color w:val="000000" w:themeColor="text1"/>
        </w:rPr>
        <w:t>申请</w:t>
      </w:r>
      <w:r>
        <w:rPr>
          <w:rFonts w:hAnsi="宋体"/>
          <w:bCs/>
          <w:color w:val="000000" w:themeColor="text1"/>
        </w:rPr>
        <w:t>卖出其持有的</w:t>
      </w:r>
      <w:r>
        <w:rPr>
          <w:rFonts w:hAnsi="宋体" w:hint="eastAsia"/>
          <w:bCs/>
          <w:color w:val="000000" w:themeColor="text1"/>
        </w:rPr>
        <w:t>全部或部分</w:t>
      </w:r>
      <w:r>
        <w:rPr>
          <w:rFonts w:hAnsi="宋体"/>
          <w:bCs/>
          <w:color w:val="000000" w:themeColor="text1"/>
        </w:rPr>
        <w:t>信托单位</w:t>
      </w:r>
      <w:r>
        <w:rPr>
          <w:rFonts w:hAnsi="宋体" w:hint="eastAsia"/>
          <w:bCs/>
          <w:color w:val="000000" w:themeColor="text1"/>
        </w:rPr>
        <w:t>并</w:t>
      </w:r>
      <w:r>
        <w:rPr>
          <w:rFonts w:hint="eastAsia"/>
          <w:color w:val="000000" w:themeColor="text1"/>
          <w:szCs w:val="24"/>
        </w:rPr>
        <w:t>注销对应信托单位</w:t>
      </w:r>
      <w:r>
        <w:rPr>
          <w:rFonts w:hAnsi="宋体"/>
          <w:bCs/>
          <w:color w:val="000000" w:themeColor="text1"/>
        </w:rPr>
        <w:t>的行为</w:t>
      </w:r>
      <w:r>
        <w:rPr>
          <w:rFonts w:hint="eastAsia"/>
          <w:color w:val="000000" w:themeColor="text1"/>
          <w:szCs w:val="24"/>
        </w:rPr>
        <w:t>。</w:t>
      </w:r>
      <w:bookmarkStart w:id="31" w:name="_Hlk75981253"/>
      <w:r>
        <w:rPr>
          <w:rFonts w:hint="eastAsia"/>
          <w:color w:val="000000" w:themeColor="text1"/>
          <w:szCs w:val="24"/>
        </w:rPr>
        <w:t>除</w:t>
      </w:r>
      <w:r>
        <w:rPr>
          <w:rFonts w:hint="eastAsia"/>
          <w:color w:val="000000"/>
        </w:rPr>
        <w:t>受托人设立临时开放日接受委托人赎回信托单位的申请的情形外，本信托计划项下的信托单位仅在固定开放日自动赎回。</w:t>
      </w:r>
      <w:bookmarkEnd w:id="31"/>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赎回确认日：</w:t>
      </w:r>
      <w:r>
        <w:rPr>
          <w:rFonts w:hint="eastAsia"/>
          <w:bCs/>
          <w:color w:val="000000" w:themeColor="text1"/>
          <w:szCs w:val="24"/>
        </w:rPr>
        <w:t>指</w:t>
      </w:r>
      <w:r>
        <w:rPr>
          <w:rFonts w:hint="eastAsia"/>
          <w:color w:val="000000" w:themeColor="text1"/>
          <w:szCs w:val="24"/>
        </w:rPr>
        <w:t>受托人确认投资者是否赎回成功的当日，本合同项下赎回确认日为赎回</w:t>
      </w:r>
      <w:r>
        <w:rPr>
          <w:rFonts w:hint="eastAsia"/>
          <w:iCs/>
          <w:color w:val="000000" w:themeColor="text1"/>
          <w:szCs w:val="24"/>
        </w:rPr>
        <w:t>开放日后</w:t>
      </w:r>
      <w:bookmarkStart w:id="32" w:name="_Hlk75981262"/>
      <w:r>
        <w:rPr>
          <w:rFonts w:hint="eastAsia"/>
          <w:iCs/>
          <w:color w:val="000000" w:themeColor="text1"/>
          <w:szCs w:val="24"/>
        </w:rPr>
        <w:t>第</w:t>
      </w:r>
      <w:r>
        <w:rPr>
          <w:rFonts w:hint="eastAsia"/>
          <w:iCs/>
          <w:color w:val="000000" w:themeColor="text1"/>
          <w:szCs w:val="24"/>
        </w:rPr>
        <w:t>1</w:t>
      </w:r>
      <w:r>
        <w:rPr>
          <w:rFonts w:hint="eastAsia"/>
          <w:iCs/>
          <w:color w:val="000000" w:themeColor="text1"/>
          <w:szCs w:val="24"/>
        </w:rPr>
        <w:t>个交易日</w:t>
      </w:r>
      <w:bookmarkEnd w:id="32"/>
      <w:r>
        <w:rPr>
          <w:rFonts w:hint="eastAsia"/>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bCs/>
          <w:color w:val="000000" w:themeColor="text1"/>
        </w:rPr>
        <w:t>标的资管产品管理人</w:t>
      </w:r>
      <w:r>
        <w:rPr>
          <w:rFonts w:hint="eastAsia"/>
          <w:b/>
          <w:bCs/>
          <w:color w:val="000000" w:themeColor="text1"/>
        </w:rPr>
        <w:t>/</w:t>
      </w:r>
      <w:r>
        <w:rPr>
          <w:rFonts w:hint="eastAsia"/>
          <w:b/>
          <w:color w:val="000000"/>
        </w:rPr>
        <w:t>申万宏源</w:t>
      </w:r>
      <w:r>
        <w:rPr>
          <w:rFonts w:hint="eastAsia"/>
          <w:b/>
          <w:bCs/>
          <w:color w:val="000000" w:themeColor="text1"/>
        </w:rPr>
        <w:t>证券：</w:t>
      </w:r>
      <w:r>
        <w:rPr>
          <w:color w:val="000000" w:themeColor="text1"/>
        </w:rPr>
        <w:t>指</w:t>
      </w:r>
      <w:r>
        <w:rPr>
          <w:rFonts w:hint="eastAsia"/>
          <w:color w:val="000000"/>
        </w:rPr>
        <w:t>申万宏源</w:t>
      </w:r>
      <w:r>
        <w:rPr>
          <w:rFonts w:hint="eastAsia"/>
          <w:color w:val="000000" w:themeColor="text1"/>
          <w:lang w:eastAsia="zh-Hans"/>
        </w:rPr>
        <w:t>证券</w:t>
      </w:r>
      <w:r>
        <w:rPr>
          <w:rFonts w:hint="eastAsia"/>
          <w:color w:val="000000" w:themeColor="text1"/>
        </w:rPr>
        <w:t>有限公司及其权利义务合法继受人。</w:t>
      </w:r>
    </w:p>
    <w:p w:rsidR="00066166" w:rsidRDefault="00F62BD0">
      <w:pPr>
        <w:pStyle w:val="NormalJustified"/>
        <w:numPr>
          <w:ilvl w:val="2"/>
          <w:numId w:val="1"/>
        </w:numPr>
        <w:tabs>
          <w:tab w:val="left" w:pos="720"/>
          <w:tab w:val="left" w:pos="851"/>
        </w:tabs>
        <w:spacing w:beforeLines="100" w:before="312" w:afterLines="100" w:after="312" w:line="300" w:lineRule="auto"/>
        <w:rPr>
          <w:color w:val="000000" w:themeColor="text1"/>
          <w:szCs w:val="24"/>
        </w:rPr>
      </w:pPr>
      <w:r>
        <w:rPr>
          <w:rFonts w:hint="eastAsia"/>
          <w:b/>
          <w:bCs/>
          <w:color w:val="000000" w:themeColor="text1"/>
          <w:szCs w:val="24"/>
        </w:rPr>
        <w:lastRenderedPageBreak/>
        <w:t>标的资管产品：</w:t>
      </w:r>
      <w:r>
        <w:rPr>
          <w:rFonts w:hint="eastAsia"/>
          <w:color w:val="000000"/>
        </w:rPr>
        <w:t>指申万</w:t>
      </w:r>
      <w:r>
        <w:rPr>
          <w:rFonts w:hint="eastAsia"/>
          <w:color w:val="000000" w:themeColor="text1"/>
          <w:szCs w:val="24"/>
        </w:rPr>
        <w:t>宏源证券管理的“申万宏源建盈稳冀</w:t>
      </w:r>
      <w:r>
        <w:rPr>
          <w:rFonts w:hint="eastAsia"/>
          <w:color w:val="000000" w:themeColor="text1"/>
          <w:szCs w:val="24"/>
        </w:rPr>
        <w:t>1</w:t>
      </w:r>
      <w:r>
        <w:rPr>
          <w:rFonts w:hint="eastAsia"/>
          <w:color w:val="000000" w:themeColor="text1"/>
          <w:szCs w:val="24"/>
        </w:rPr>
        <w:t>号集合资产管理计划”。</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资产管理合同</w:t>
      </w:r>
      <w:r>
        <w:rPr>
          <w:rFonts w:hint="eastAsia"/>
          <w:b/>
          <w:color w:val="000000" w:themeColor="text1"/>
          <w:szCs w:val="24"/>
        </w:rPr>
        <w:t>/</w:t>
      </w:r>
      <w:r>
        <w:rPr>
          <w:rFonts w:hint="eastAsia"/>
          <w:b/>
          <w:color w:val="000000" w:themeColor="text1"/>
          <w:szCs w:val="24"/>
        </w:rPr>
        <w:t>标的资管产品资管合同：</w:t>
      </w:r>
      <w:r>
        <w:rPr>
          <w:rFonts w:hint="eastAsia"/>
          <w:color w:val="000000" w:themeColor="text1"/>
          <w:szCs w:val="24"/>
        </w:rPr>
        <w:t>指《申万宏源建盈稳冀</w:t>
      </w:r>
      <w:r>
        <w:rPr>
          <w:rFonts w:hint="eastAsia"/>
          <w:color w:val="000000" w:themeColor="text1"/>
          <w:szCs w:val="24"/>
        </w:rPr>
        <w:t>1</w:t>
      </w:r>
      <w:r>
        <w:rPr>
          <w:rFonts w:hint="eastAsia"/>
          <w:color w:val="000000" w:themeColor="text1"/>
          <w:szCs w:val="24"/>
        </w:rPr>
        <w:t>号集合资产管理计划》及对该合同的任何有效修订和补充。</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bCs/>
          <w:szCs w:val="24"/>
        </w:rPr>
        <w:t>标的</w:t>
      </w:r>
      <w:r>
        <w:rPr>
          <w:rFonts w:hint="eastAsia"/>
          <w:b/>
          <w:bCs/>
          <w:color w:val="000000" w:themeColor="text1"/>
          <w:szCs w:val="24"/>
        </w:rPr>
        <w:t>资管产品</w:t>
      </w:r>
      <w:r>
        <w:rPr>
          <w:rFonts w:hint="eastAsia"/>
          <w:b/>
          <w:bCs/>
          <w:szCs w:val="24"/>
        </w:rPr>
        <w:t>文件：</w:t>
      </w:r>
      <w:r>
        <w:rPr>
          <w:rFonts w:hint="eastAsia"/>
          <w:szCs w:val="24"/>
        </w:rPr>
        <w:t>指约定标的</w:t>
      </w:r>
      <w:r>
        <w:rPr>
          <w:rFonts w:hint="eastAsia"/>
          <w:bCs/>
          <w:color w:val="000000" w:themeColor="text1"/>
          <w:szCs w:val="24"/>
        </w:rPr>
        <w:t>资管产品</w:t>
      </w:r>
      <w:r>
        <w:rPr>
          <w:rFonts w:hint="eastAsia"/>
          <w:szCs w:val="24"/>
        </w:rPr>
        <w:t>项下当事人权利义务的各项文件（包括但不限于资产管理合同等）的统称。</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《信托业保障基金管理办法》：</w:t>
      </w:r>
      <w:r>
        <w:rPr>
          <w:rFonts w:hAnsi="宋体"/>
          <w:bCs/>
          <w:color w:val="000000" w:themeColor="text1"/>
        </w:rPr>
        <w:t>指</w:t>
      </w:r>
      <w:r>
        <w:rPr>
          <w:bCs/>
          <w:color w:val="000000" w:themeColor="text1"/>
        </w:rPr>
        <w:t>2014</w:t>
      </w:r>
      <w:r>
        <w:rPr>
          <w:rFonts w:hAnsi="宋体"/>
          <w:bCs/>
          <w:color w:val="000000" w:themeColor="text1"/>
        </w:rPr>
        <w:t>年</w:t>
      </w:r>
      <w:r>
        <w:rPr>
          <w:bCs/>
          <w:color w:val="000000" w:themeColor="text1"/>
        </w:rPr>
        <w:t>12</w:t>
      </w:r>
      <w:r>
        <w:rPr>
          <w:rFonts w:hAnsi="宋体"/>
          <w:bCs/>
          <w:color w:val="000000" w:themeColor="text1"/>
        </w:rPr>
        <w:t>月</w:t>
      </w:r>
      <w:r>
        <w:rPr>
          <w:bCs/>
          <w:color w:val="000000" w:themeColor="text1"/>
        </w:rPr>
        <w:t>10</w:t>
      </w:r>
      <w:r>
        <w:rPr>
          <w:rFonts w:hAnsi="宋体"/>
          <w:bCs/>
          <w:color w:val="000000" w:themeColor="text1"/>
        </w:rPr>
        <w:t>日，由中国银行业监督管理委员会、中华人民共和国财政部</w:t>
      </w:r>
      <w:r>
        <w:rPr>
          <w:bCs/>
          <w:color w:val="000000" w:themeColor="text1"/>
        </w:rPr>
        <w:t>2014</w:t>
      </w:r>
      <w:r>
        <w:rPr>
          <w:rFonts w:hAnsi="宋体"/>
          <w:bCs/>
          <w:color w:val="000000" w:themeColor="text1"/>
        </w:rPr>
        <w:t>年第</w:t>
      </w:r>
      <w:r>
        <w:rPr>
          <w:bCs/>
          <w:color w:val="000000" w:themeColor="text1"/>
        </w:rPr>
        <w:t>50</w:t>
      </w:r>
      <w:r>
        <w:rPr>
          <w:rFonts w:hAnsi="宋体"/>
          <w:bCs/>
          <w:color w:val="000000" w:themeColor="text1"/>
        </w:rPr>
        <w:t>号文发布，自发布之日起施行的《信托业保障基金管理办法》</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信托业保障基金</w:t>
      </w:r>
      <w:r>
        <w:rPr>
          <w:b/>
          <w:bCs/>
          <w:color w:val="000000" w:themeColor="text1"/>
        </w:rPr>
        <w:t>:</w:t>
      </w:r>
      <w:r>
        <w:rPr>
          <w:rFonts w:hAnsi="宋体"/>
          <w:bCs/>
          <w:color w:val="000000" w:themeColor="text1"/>
        </w:rPr>
        <w:t>指依照《信托业保障基金管理办法》设立的中国信托业保障基金</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bCs/>
          <w:color w:val="000000" w:themeColor="text1"/>
        </w:rPr>
        <w:t>信托业保障基金管理人：</w:t>
      </w:r>
      <w:r>
        <w:rPr>
          <w:rFonts w:hAnsi="宋体"/>
          <w:bCs/>
          <w:color w:val="000000" w:themeColor="text1"/>
        </w:rPr>
        <w:t>指信托业保障基金的基金管理人，本合同签署之日为中国信托业保障基金有限责任公司</w:t>
      </w:r>
      <w:r>
        <w:rPr>
          <w:rFonts w:hAnsi="宋体" w:hint="eastAsia"/>
          <w:bCs/>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rPr>
        <w:t>税收：</w:t>
      </w:r>
      <w:r>
        <w:rPr>
          <w:color w:val="000000" w:themeColor="text1"/>
        </w:rPr>
        <w:t>指由有管辖权的政府机构或其授权</w:t>
      </w:r>
      <w:r>
        <w:rPr>
          <w:color w:val="000000" w:themeColor="text1"/>
          <w:kern w:val="2"/>
          <w:szCs w:val="24"/>
        </w:rPr>
        <w:t>机构</w:t>
      </w:r>
      <w:r>
        <w:rPr>
          <w:color w:val="000000" w:themeColor="text1"/>
        </w:rPr>
        <w:t>征收的现有的和将有的任何税收、规费以及其他任何性质的政府收费，包括但不限于印花税、</w:t>
      </w:r>
      <w:r>
        <w:rPr>
          <w:rFonts w:hint="eastAsia"/>
          <w:color w:val="000000" w:themeColor="text1"/>
        </w:rPr>
        <w:t>增值税及附加</w:t>
      </w:r>
      <w:r>
        <w:rPr>
          <w:color w:val="000000" w:themeColor="text1"/>
        </w:rPr>
        <w:t>税、契税、所得税和其他税。</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政府机构：</w:t>
      </w:r>
      <w:r>
        <w:rPr>
          <w:color w:val="000000" w:themeColor="text1"/>
        </w:rPr>
        <w:t>指（</w:t>
      </w:r>
      <w:r>
        <w:rPr>
          <w:color w:val="000000" w:themeColor="text1"/>
        </w:rPr>
        <w:t>1</w:t>
      </w:r>
      <w:r>
        <w:rPr>
          <w:color w:val="000000" w:themeColor="text1"/>
        </w:rPr>
        <w:t>）中国各级人民政府、人民代表大会、人民法院（含专门法院）、</w:t>
      </w:r>
      <w:r>
        <w:rPr>
          <w:color w:val="000000" w:themeColor="text1"/>
          <w:szCs w:val="24"/>
        </w:rPr>
        <w:t>人民检察院</w:t>
      </w:r>
      <w:r>
        <w:rPr>
          <w:color w:val="000000" w:themeColor="text1"/>
        </w:rPr>
        <w:t>（含专门检察院）；（</w:t>
      </w:r>
      <w:r>
        <w:rPr>
          <w:color w:val="000000" w:themeColor="text1"/>
        </w:rPr>
        <w:t>2</w:t>
      </w:r>
      <w:r>
        <w:rPr>
          <w:color w:val="000000" w:themeColor="text1"/>
        </w:rPr>
        <w:t>）中国仲裁机构及其分支机构；（</w:t>
      </w:r>
      <w:r>
        <w:rPr>
          <w:color w:val="000000" w:themeColor="text1"/>
        </w:rPr>
        <w:t>3</w:t>
      </w:r>
      <w:r>
        <w:rPr>
          <w:color w:val="000000" w:themeColor="text1"/>
        </w:rPr>
        <w:t>）任何在上述机构领导下或以上述机构名义行使行政、立法、司法、管理、监管、征用和征税权利的政府授权机构、事业单位和社会团体。</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中国</w:t>
      </w:r>
      <w:r>
        <w:rPr>
          <w:b/>
          <w:color w:val="000000" w:themeColor="text1"/>
        </w:rPr>
        <w:t>：</w:t>
      </w:r>
      <w:r>
        <w:rPr>
          <w:color w:val="000000" w:themeColor="text1"/>
          <w:szCs w:val="24"/>
        </w:rPr>
        <w:t>指中华人民共和国（就信托合同而言不包括香港特别行政区、澳门特别行政区和台湾地区）。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银</w:t>
      </w:r>
      <w:r>
        <w:rPr>
          <w:rFonts w:hint="eastAsia"/>
          <w:b/>
          <w:color w:val="000000" w:themeColor="text1"/>
          <w:szCs w:val="24"/>
        </w:rPr>
        <w:t>保</w:t>
      </w:r>
      <w:r>
        <w:rPr>
          <w:b/>
          <w:color w:val="000000" w:themeColor="text1"/>
          <w:szCs w:val="24"/>
        </w:rPr>
        <w:t>监会</w:t>
      </w:r>
      <w:r>
        <w:rPr>
          <w:b/>
          <w:color w:val="000000" w:themeColor="text1"/>
        </w:rPr>
        <w:t>：</w:t>
      </w:r>
      <w:r>
        <w:rPr>
          <w:color w:val="000000" w:themeColor="text1"/>
          <w:szCs w:val="24"/>
        </w:rPr>
        <w:t>指</w:t>
      </w:r>
      <w:r>
        <w:rPr>
          <w:color w:val="000000" w:themeColor="text1"/>
          <w:kern w:val="2"/>
          <w:szCs w:val="24"/>
        </w:rPr>
        <w:t>中国银行</w:t>
      </w:r>
      <w:r>
        <w:rPr>
          <w:rFonts w:hint="eastAsia"/>
          <w:color w:val="000000" w:themeColor="text1"/>
          <w:kern w:val="2"/>
          <w:szCs w:val="24"/>
        </w:rPr>
        <w:t>保险</w:t>
      </w:r>
      <w:r>
        <w:rPr>
          <w:color w:val="000000" w:themeColor="text1"/>
          <w:kern w:val="2"/>
          <w:szCs w:val="24"/>
        </w:rPr>
        <w:t>监督管理委员会</w:t>
      </w:r>
      <w:r>
        <w:rPr>
          <w:color w:val="000000" w:themeColor="text1"/>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法律</w:t>
      </w:r>
      <w:r>
        <w:rPr>
          <w:b/>
          <w:color w:val="000000" w:themeColor="text1"/>
        </w:rPr>
        <w:t>：</w:t>
      </w:r>
      <w:r>
        <w:rPr>
          <w:color w:val="000000" w:themeColor="text1"/>
          <w:szCs w:val="24"/>
        </w:rPr>
        <w:t>指中国的法律、行政法规、规章和地方性法规等规范性文件。</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元：</w:t>
      </w:r>
      <w:r>
        <w:rPr>
          <w:color w:val="000000" w:themeColor="text1"/>
        </w:rPr>
        <w:t>指人民币元。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bCs/>
          <w:color w:val="000000" w:themeColor="text1"/>
        </w:rPr>
        <w:lastRenderedPageBreak/>
        <w:t>交易日：</w:t>
      </w:r>
      <w:r>
        <w:rPr>
          <w:rFonts w:hAnsi="宋体"/>
          <w:bCs/>
          <w:color w:val="000000" w:themeColor="text1"/>
        </w:rPr>
        <w:t>指上海证券交易所、深圳证券交易所的</w:t>
      </w:r>
      <w:r>
        <w:rPr>
          <w:rFonts w:hint="eastAsia"/>
          <w:color w:val="000000" w:themeColor="text1"/>
        </w:rPr>
        <w:t>共同</w:t>
      </w:r>
      <w:r>
        <w:rPr>
          <w:rFonts w:hAnsi="宋体"/>
          <w:bCs/>
          <w:color w:val="000000" w:themeColor="text1"/>
        </w:rPr>
        <w:t>正常</w:t>
      </w:r>
      <w:r>
        <w:rPr>
          <w:rFonts w:hint="eastAsia"/>
          <w:color w:val="000000" w:themeColor="text1"/>
        </w:rPr>
        <w:t>营业</w:t>
      </w:r>
      <w:r>
        <w:rPr>
          <w:rFonts w:hAnsi="宋体"/>
          <w:bCs/>
          <w:color w:val="000000" w:themeColor="text1"/>
        </w:rPr>
        <w:t>日</w:t>
      </w:r>
      <w:r>
        <w:rPr>
          <w:rFonts w:hAnsi="宋体" w:hint="eastAsia"/>
          <w:bCs/>
          <w:color w:val="000000" w:themeColor="text1"/>
        </w:rPr>
        <w:t>。</w:t>
      </w:r>
    </w:p>
    <w:p w:rsidR="00066166" w:rsidRDefault="00F62BD0">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工作日：</w:t>
      </w:r>
      <w:r>
        <w:rPr>
          <w:color w:val="000000" w:themeColor="text1"/>
        </w:rPr>
        <w:t>指除国家法定节假日、公休日以外任何一天。</w:t>
      </w:r>
    </w:p>
    <w:p w:rsidR="00066166" w:rsidRDefault="00F62BD0">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color w:val="000000" w:themeColor="text1"/>
        </w:rPr>
        <w:t>T</w:t>
      </w:r>
      <w:r>
        <w:rPr>
          <w:rFonts w:hint="eastAsia"/>
          <w:b/>
          <w:color w:val="000000" w:themeColor="text1"/>
        </w:rPr>
        <w:t>日：</w:t>
      </w:r>
      <w:r>
        <w:rPr>
          <w:rFonts w:hint="eastAsia"/>
          <w:color w:val="000000" w:themeColor="text1"/>
        </w:rPr>
        <w:t>指</w:t>
      </w:r>
      <w:r>
        <w:rPr>
          <w:color w:val="000000" w:themeColor="text1"/>
        </w:rPr>
        <w:t>某一事件或行为发生的当日</w:t>
      </w:r>
      <w:r>
        <w:rPr>
          <w:rFonts w:hint="eastAsia"/>
          <w:color w:val="000000" w:themeColor="text1"/>
        </w:rPr>
        <w:t>，</w:t>
      </w:r>
      <w:r>
        <w:rPr>
          <w:color w:val="000000" w:themeColor="text1"/>
        </w:rPr>
        <w:t>具体以相关条款约定为准</w:t>
      </w:r>
      <w:r>
        <w:rPr>
          <w:rFonts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T+n</w:t>
      </w:r>
      <w:r>
        <w:rPr>
          <w:rFonts w:hint="eastAsia"/>
          <w:b/>
          <w:color w:val="000000" w:themeColor="text1"/>
          <w:szCs w:val="24"/>
        </w:rPr>
        <w:t>日：</w:t>
      </w:r>
      <w:r>
        <w:rPr>
          <w:rFonts w:hint="eastAsia"/>
          <w:color w:val="000000" w:themeColor="text1"/>
        </w:rPr>
        <w:t>合同中无特殊约定的，指</w:t>
      </w:r>
      <w:r>
        <w:rPr>
          <w:color w:val="000000" w:themeColor="text1"/>
        </w:rPr>
        <w:t>T</w:t>
      </w:r>
      <w:r>
        <w:rPr>
          <w:color w:val="000000" w:themeColor="text1"/>
        </w:rPr>
        <w:t>日后</w:t>
      </w:r>
      <w:r>
        <w:rPr>
          <w:rFonts w:hint="eastAsia"/>
          <w:color w:val="000000" w:themeColor="text1"/>
        </w:rPr>
        <w:t>（</w:t>
      </w:r>
      <w:r>
        <w:rPr>
          <w:color w:val="000000" w:themeColor="text1"/>
        </w:rPr>
        <w:t>不包括</w:t>
      </w:r>
      <w:r>
        <w:rPr>
          <w:color w:val="000000" w:themeColor="text1"/>
        </w:rPr>
        <w:t>T</w:t>
      </w:r>
      <w:r>
        <w:rPr>
          <w:color w:val="000000" w:themeColor="text1"/>
        </w:rPr>
        <w:t>日</w:t>
      </w:r>
      <w:r>
        <w:rPr>
          <w:rFonts w:hint="eastAsia"/>
          <w:color w:val="000000" w:themeColor="text1"/>
        </w:rPr>
        <w:t>）</w:t>
      </w:r>
      <w:r>
        <w:rPr>
          <w:color w:val="000000" w:themeColor="text1"/>
        </w:rPr>
        <w:t>的第</w:t>
      </w:r>
      <w:r>
        <w:rPr>
          <w:color w:val="000000" w:themeColor="text1"/>
        </w:rPr>
        <w:t>n</w:t>
      </w:r>
      <w:r>
        <w:rPr>
          <w:color w:val="000000" w:themeColor="text1"/>
        </w:rPr>
        <w:t>个</w:t>
      </w:r>
      <w:r>
        <w:rPr>
          <w:rFonts w:hint="eastAsia"/>
          <w:color w:val="000000" w:themeColor="text1"/>
        </w:rPr>
        <w:t>工作</w:t>
      </w:r>
      <w:r>
        <w:rPr>
          <w:color w:val="000000" w:themeColor="text1"/>
        </w:rPr>
        <w:t>日</w:t>
      </w:r>
      <w:r>
        <w:rPr>
          <w:rFonts w:hint="eastAsia"/>
          <w:color w:val="000000" w:themeColor="text1"/>
        </w:rPr>
        <w:t>或交易日，</w:t>
      </w:r>
      <w:r>
        <w:rPr>
          <w:color w:val="000000" w:themeColor="text1"/>
        </w:rPr>
        <w:t>具体以相关条款约定为准</w:t>
      </w:r>
      <w:r>
        <w:rPr>
          <w:rFonts w:hint="eastAsia"/>
          <w:color w:val="000000" w:themeColor="text1"/>
        </w:rPr>
        <w:t>，</w:t>
      </w:r>
      <w:r>
        <w:rPr>
          <w:color w:val="000000" w:themeColor="text1"/>
        </w:rPr>
        <w:t>n</w:t>
      </w:r>
      <w:r>
        <w:rPr>
          <w:rFonts w:hint="eastAsia"/>
          <w:color w:val="000000" w:themeColor="text1"/>
          <w:szCs w:val="24"/>
        </w:rPr>
        <w:t>为大于等于</w:t>
      </w:r>
      <w:r>
        <w:rPr>
          <w:rFonts w:hint="eastAsia"/>
          <w:color w:val="000000" w:themeColor="text1"/>
          <w:szCs w:val="24"/>
        </w:rPr>
        <w:t>1</w:t>
      </w:r>
      <w:r>
        <w:rPr>
          <w:rFonts w:hint="eastAsia"/>
          <w:color w:val="000000" w:themeColor="text1"/>
          <w:szCs w:val="24"/>
        </w:rPr>
        <w:t>的自然数</w:t>
      </w:r>
      <w:r>
        <w:rPr>
          <w:rFonts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T</w:t>
      </w:r>
      <w:r>
        <w:rPr>
          <w:rFonts w:hint="eastAsia"/>
          <w:b/>
          <w:color w:val="000000" w:themeColor="text1"/>
          <w:szCs w:val="24"/>
        </w:rPr>
        <w:t>－</w:t>
      </w:r>
      <w:r>
        <w:rPr>
          <w:b/>
          <w:color w:val="000000" w:themeColor="text1"/>
          <w:szCs w:val="24"/>
        </w:rPr>
        <w:t>n</w:t>
      </w:r>
      <w:r>
        <w:rPr>
          <w:rFonts w:hint="eastAsia"/>
          <w:b/>
          <w:color w:val="000000" w:themeColor="text1"/>
          <w:szCs w:val="24"/>
        </w:rPr>
        <w:t>日：</w:t>
      </w:r>
      <w:r>
        <w:rPr>
          <w:rFonts w:hint="eastAsia"/>
          <w:color w:val="000000" w:themeColor="text1"/>
        </w:rPr>
        <w:t>合同中无特殊约定的，指</w:t>
      </w:r>
      <w:r>
        <w:rPr>
          <w:color w:val="000000" w:themeColor="text1"/>
        </w:rPr>
        <w:t>T</w:t>
      </w:r>
      <w:r>
        <w:rPr>
          <w:color w:val="000000" w:themeColor="text1"/>
        </w:rPr>
        <w:t>日前（不包括</w:t>
      </w:r>
      <w:r>
        <w:rPr>
          <w:color w:val="000000" w:themeColor="text1"/>
        </w:rPr>
        <w:t>T</w:t>
      </w:r>
      <w:r>
        <w:rPr>
          <w:color w:val="000000" w:themeColor="text1"/>
        </w:rPr>
        <w:t>日）的第</w:t>
      </w:r>
      <w:r>
        <w:rPr>
          <w:color w:val="000000" w:themeColor="text1"/>
        </w:rPr>
        <w:t>n</w:t>
      </w:r>
      <w:r>
        <w:rPr>
          <w:color w:val="000000" w:themeColor="text1"/>
        </w:rPr>
        <w:t>个工作日</w:t>
      </w:r>
      <w:r>
        <w:rPr>
          <w:rFonts w:hint="eastAsia"/>
          <w:color w:val="000000" w:themeColor="text1"/>
        </w:rPr>
        <w:t>或交易日，</w:t>
      </w:r>
      <w:r>
        <w:rPr>
          <w:color w:val="000000" w:themeColor="text1"/>
        </w:rPr>
        <w:t>具体以相关条款约定为准</w:t>
      </w:r>
      <w:r>
        <w:rPr>
          <w:rFonts w:hint="eastAsia"/>
          <w:color w:val="000000" w:themeColor="text1"/>
        </w:rPr>
        <w:t>，</w:t>
      </w:r>
      <w:r>
        <w:rPr>
          <w:color w:val="000000" w:themeColor="text1"/>
        </w:rPr>
        <w:t>n</w:t>
      </w:r>
      <w:r>
        <w:rPr>
          <w:rFonts w:hint="eastAsia"/>
          <w:color w:val="000000" w:themeColor="text1"/>
          <w:szCs w:val="24"/>
        </w:rPr>
        <w:t>为大于等于</w:t>
      </w:r>
      <w:r>
        <w:rPr>
          <w:rFonts w:hint="eastAsia"/>
          <w:color w:val="000000" w:themeColor="text1"/>
          <w:szCs w:val="24"/>
        </w:rPr>
        <w:t>1</w:t>
      </w:r>
      <w:r>
        <w:rPr>
          <w:rFonts w:hint="eastAsia"/>
          <w:color w:val="000000" w:themeColor="text1"/>
          <w:szCs w:val="24"/>
        </w:rPr>
        <w:t>的自然数。</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Ansi="宋体"/>
          <w:b/>
          <w:color w:val="000000" w:themeColor="text1"/>
        </w:rPr>
        <w:t>月：</w:t>
      </w:r>
      <w:r>
        <w:rPr>
          <w:color w:val="000000" w:themeColor="text1"/>
        </w:rPr>
        <w:t>假设某日为</w:t>
      </w:r>
      <w:r>
        <w:rPr>
          <w:color w:val="000000" w:themeColor="text1"/>
        </w:rPr>
        <w:t>M</w:t>
      </w:r>
      <w:r>
        <w:rPr>
          <w:color w:val="000000" w:themeColor="text1"/>
        </w:rPr>
        <w:t>月</w:t>
      </w:r>
      <w:r>
        <w:rPr>
          <w:color w:val="000000" w:themeColor="text1"/>
        </w:rPr>
        <w:t>N</w:t>
      </w:r>
      <w:r>
        <w:rPr>
          <w:color w:val="000000" w:themeColor="text1"/>
        </w:rPr>
        <w:t>日，则自该日（含该日）起至下一个月的</w:t>
      </w:r>
      <w:r>
        <w:rPr>
          <w:color w:val="000000" w:themeColor="text1"/>
        </w:rPr>
        <w:t>N-1</w:t>
      </w:r>
      <w:r>
        <w:rPr>
          <w:rFonts w:hint="eastAsia"/>
          <w:color w:val="000000" w:themeColor="text1"/>
        </w:rPr>
        <w:t>个自然</w:t>
      </w:r>
      <w:r>
        <w:rPr>
          <w:color w:val="000000" w:themeColor="text1"/>
        </w:rPr>
        <w:t>日（含该日）为一个月届满之日。但是，（</w:t>
      </w:r>
      <w:r>
        <w:rPr>
          <w:color w:val="000000" w:themeColor="text1"/>
        </w:rPr>
        <w:t>1</w:t>
      </w:r>
      <w:r>
        <w:rPr>
          <w:color w:val="000000" w:themeColor="text1"/>
        </w:rPr>
        <w:t>）若</w:t>
      </w:r>
      <w:r>
        <w:rPr>
          <w:color w:val="000000" w:themeColor="text1"/>
        </w:rPr>
        <w:t>M</w:t>
      </w:r>
      <w:r>
        <w:rPr>
          <w:color w:val="000000" w:themeColor="text1"/>
        </w:rPr>
        <w:t>月</w:t>
      </w:r>
      <w:r>
        <w:rPr>
          <w:color w:val="000000" w:themeColor="text1"/>
        </w:rPr>
        <w:t>N</w:t>
      </w:r>
      <w:r>
        <w:rPr>
          <w:color w:val="000000" w:themeColor="text1"/>
        </w:rPr>
        <w:t>日为</w:t>
      </w:r>
      <w:r>
        <w:rPr>
          <w:color w:val="000000" w:themeColor="text1"/>
        </w:rPr>
        <w:t>M</w:t>
      </w:r>
      <w:r>
        <w:rPr>
          <w:color w:val="000000" w:themeColor="text1"/>
        </w:rPr>
        <w:t>月</w:t>
      </w:r>
      <w:r>
        <w:rPr>
          <w:color w:val="000000" w:themeColor="text1"/>
        </w:rPr>
        <w:t>1</w:t>
      </w:r>
      <w:r>
        <w:rPr>
          <w:color w:val="000000" w:themeColor="text1"/>
        </w:rPr>
        <w:t>日，则</w:t>
      </w:r>
      <w:r>
        <w:rPr>
          <w:color w:val="000000" w:themeColor="text1"/>
        </w:rPr>
        <w:t>M</w:t>
      </w:r>
      <w:r>
        <w:rPr>
          <w:color w:val="000000" w:themeColor="text1"/>
        </w:rPr>
        <w:t>月最后一日为一个月届满之日；（</w:t>
      </w:r>
      <w:r>
        <w:rPr>
          <w:color w:val="000000" w:themeColor="text1"/>
        </w:rPr>
        <w:t>2</w:t>
      </w:r>
      <w:r>
        <w:rPr>
          <w:color w:val="000000" w:themeColor="text1"/>
        </w:rPr>
        <w:t>）若</w:t>
      </w:r>
      <w:r>
        <w:rPr>
          <w:color w:val="000000" w:themeColor="text1"/>
        </w:rPr>
        <w:t>M</w:t>
      </w:r>
      <w:r>
        <w:rPr>
          <w:color w:val="000000" w:themeColor="text1"/>
        </w:rPr>
        <w:t>月</w:t>
      </w:r>
      <w:r>
        <w:rPr>
          <w:color w:val="000000" w:themeColor="text1"/>
        </w:rPr>
        <w:t>N</w:t>
      </w:r>
      <w:r>
        <w:rPr>
          <w:color w:val="000000" w:themeColor="text1"/>
        </w:rPr>
        <w:t>日非</w:t>
      </w:r>
      <w:r>
        <w:rPr>
          <w:color w:val="000000" w:themeColor="text1"/>
        </w:rPr>
        <w:t>M</w:t>
      </w:r>
      <w:r>
        <w:rPr>
          <w:color w:val="000000" w:themeColor="text1"/>
        </w:rPr>
        <w:t>月</w:t>
      </w:r>
      <w:r>
        <w:rPr>
          <w:color w:val="000000" w:themeColor="text1"/>
        </w:rPr>
        <w:t>1</w:t>
      </w:r>
      <w:r>
        <w:rPr>
          <w:color w:val="000000" w:themeColor="text1"/>
        </w:rPr>
        <w:t>日，且下一个月无</w:t>
      </w:r>
      <w:r>
        <w:rPr>
          <w:color w:val="000000" w:themeColor="text1"/>
        </w:rPr>
        <w:t>N-1</w:t>
      </w:r>
      <w:r>
        <w:rPr>
          <w:color w:val="000000" w:themeColor="text1"/>
        </w:rPr>
        <w:t>日的，则以下一个月的最后一</w:t>
      </w:r>
      <w:r>
        <w:rPr>
          <w:rFonts w:hint="eastAsia"/>
          <w:color w:val="000000" w:themeColor="text1"/>
        </w:rPr>
        <w:t>自然</w:t>
      </w:r>
      <w:r>
        <w:rPr>
          <w:color w:val="000000" w:themeColor="text1"/>
        </w:rPr>
        <w:t>日为一个月届满之日。</w:t>
      </w:r>
      <w:bookmarkEnd w:id="12"/>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年：</w:t>
      </w:r>
      <w:r>
        <w:rPr>
          <w:rFonts w:hint="eastAsia"/>
          <w:color w:val="000000" w:themeColor="text1"/>
          <w:szCs w:val="24"/>
        </w:rPr>
        <w:t>指【</w:t>
      </w:r>
      <w:r>
        <w:rPr>
          <w:rFonts w:hint="eastAsia"/>
          <w:color w:val="000000" w:themeColor="text1"/>
          <w:szCs w:val="24"/>
        </w:rPr>
        <w:t>365</w:t>
      </w:r>
      <w:r>
        <w:rPr>
          <w:rFonts w:hint="eastAsia"/>
          <w:color w:val="000000" w:themeColor="text1"/>
          <w:szCs w:val="24"/>
        </w:rPr>
        <w:t>】天。</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 w:name="_Toc164487803"/>
      <w:r>
        <w:rPr>
          <w:rFonts w:ascii="Times New Roman" w:eastAsia="宋体" w:hAnsi="Times New Roman"/>
          <w:color w:val="000000" w:themeColor="text1"/>
          <w:sz w:val="24"/>
          <w:szCs w:val="24"/>
        </w:rPr>
        <w:t>其他定义</w:t>
      </w:r>
      <w:bookmarkEnd w:id="33"/>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信托合同中未定义的词语或简称与《信托计划说明书》或其他信托文件中相关词语或简称的定义相同。</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除非其他信托文件中另有特别定义，信托合同已定义的词语或简称在其他信托文件中的含义与信托合同的定义相同。</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除上下文另有约定外，本合同所使用的有关“本合同的”、“本合同中”、“本合同内”、“本合同项下”以及其他具有类似含义的词语，是指包括本合同全部组成部分的合同整体，而不是指本合同的任何特定部分或条款。</w:t>
      </w:r>
    </w:p>
    <w:p w:rsidR="00066166" w:rsidRDefault="00066166">
      <w:pPr>
        <w:pStyle w:val="NormalJustified"/>
        <w:widowControl w:val="0"/>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34" w:name="_Toc91143602"/>
      <w:bookmarkStart w:id="35" w:name="_Toc164487804"/>
      <w:bookmarkStart w:id="36" w:name="_Toc13016380"/>
      <w:r>
        <w:rPr>
          <w:color w:val="000000" w:themeColor="text1"/>
          <w:sz w:val="24"/>
          <w:szCs w:val="24"/>
        </w:rPr>
        <w:lastRenderedPageBreak/>
        <w:t>信托事务管理人</w:t>
      </w:r>
      <w:bookmarkEnd w:id="34"/>
      <w:bookmarkEnd w:id="35"/>
      <w:bookmarkEnd w:id="36"/>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7" w:name="_Toc164487805"/>
      <w:r>
        <w:rPr>
          <w:rFonts w:ascii="Times New Roman" w:eastAsia="宋体" w:hAnsi="Times New Roman"/>
          <w:color w:val="000000" w:themeColor="text1"/>
          <w:sz w:val="24"/>
          <w:szCs w:val="24"/>
        </w:rPr>
        <w:t>受托人</w:t>
      </w:r>
      <w:bookmarkEnd w:id="37"/>
    </w:p>
    <w:p w:rsidR="00066166" w:rsidRDefault="00F62BD0">
      <w:pPr>
        <w:pStyle w:val="NormalJustified"/>
        <w:widowControl w:val="0"/>
        <w:spacing w:beforeLines="100" w:before="312" w:afterLines="100" w:after="312" w:line="300" w:lineRule="auto"/>
        <w:ind w:leftChars="342" w:left="718"/>
        <w:rPr>
          <w:color w:val="000000" w:themeColor="text1"/>
          <w:kern w:val="2"/>
          <w:szCs w:val="24"/>
        </w:rPr>
      </w:pPr>
      <w:r>
        <w:rPr>
          <w:color w:val="000000" w:themeColor="text1"/>
          <w:kern w:val="2"/>
          <w:szCs w:val="24"/>
        </w:rPr>
        <w:t>名称：五矿国际信托有限公司</w:t>
      </w:r>
    </w:p>
    <w:p w:rsidR="00066166" w:rsidRDefault="00F62BD0">
      <w:pPr>
        <w:pStyle w:val="NormalJustified"/>
        <w:widowControl w:val="0"/>
        <w:spacing w:beforeLines="100" w:before="312" w:afterLines="100" w:after="312" w:line="300" w:lineRule="auto"/>
        <w:ind w:leftChars="342" w:left="718"/>
        <w:rPr>
          <w:color w:val="000000" w:themeColor="text1"/>
          <w:kern w:val="2"/>
          <w:szCs w:val="24"/>
        </w:rPr>
      </w:pPr>
      <w:r>
        <w:rPr>
          <w:color w:val="000000" w:themeColor="text1"/>
          <w:kern w:val="2"/>
          <w:szCs w:val="24"/>
        </w:rPr>
        <w:t>住所：</w:t>
      </w:r>
      <w:r>
        <w:rPr>
          <w:rFonts w:hint="eastAsia"/>
          <w:color w:val="000000" w:themeColor="text1"/>
          <w:kern w:val="2"/>
          <w:szCs w:val="24"/>
        </w:rPr>
        <w:t>青海省西宁市城中区创业路</w:t>
      </w:r>
      <w:r>
        <w:rPr>
          <w:rFonts w:hint="eastAsia"/>
          <w:color w:val="000000" w:themeColor="text1"/>
          <w:kern w:val="2"/>
          <w:szCs w:val="24"/>
        </w:rPr>
        <w:t>108</w:t>
      </w:r>
      <w:r>
        <w:rPr>
          <w:rFonts w:hint="eastAsia"/>
          <w:color w:val="000000" w:themeColor="text1"/>
          <w:kern w:val="2"/>
          <w:szCs w:val="24"/>
        </w:rPr>
        <w:t>号南川工业园区投资服务中心</w:t>
      </w:r>
      <w:r>
        <w:rPr>
          <w:rFonts w:hint="eastAsia"/>
          <w:color w:val="000000" w:themeColor="text1"/>
          <w:kern w:val="2"/>
          <w:szCs w:val="24"/>
        </w:rPr>
        <w:t>1</w:t>
      </w:r>
      <w:r>
        <w:rPr>
          <w:rFonts w:hint="eastAsia"/>
          <w:color w:val="000000" w:themeColor="text1"/>
          <w:kern w:val="2"/>
          <w:szCs w:val="24"/>
        </w:rPr>
        <w:t>号楼</w:t>
      </w:r>
      <w:r>
        <w:rPr>
          <w:rFonts w:hint="eastAsia"/>
          <w:color w:val="000000" w:themeColor="text1"/>
          <w:kern w:val="2"/>
          <w:szCs w:val="24"/>
        </w:rPr>
        <w:t>4</w:t>
      </w:r>
      <w:r>
        <w:rPr>
          <w:rFonts w:hint="eastAsia"/>
          <w:color w:val="000000" w:themeColor="text1"/>
          <w:kern w:val="2"/>
          <w:szCs w:val="24"/>
        </w:rPr>
        <w:t>层</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8" w:name="_Toc164487806"/>
      <w:r>
        <w:rPr>
          <w:rFonts w:ascii="Times New Roman" w:eastAsia="宋体" w:hAnsi="Times New Roman"/>
          <w:color w:val="000000" w:themeColor="text1"/>
          <w:sz w:val="24"/>
          <w:szCs w:val="24"/>
        </w:rPr>
        <w:t>保管人</w:t>
      </w:r>
      <w:bookmarkEnd w:id="38"/>
    </w:p>
    <w:p w:rsidR="00066166" w:rsidRDefault="00F62BD0">
      <w:pPr>
        <w:pStyle w:val="NormalJustified"/>
        <w:widowControl w:val="0"/>
        <w:spacing w:beforeLines="100" w:before="312" w:afterLines="100" w:after="312" w:line="300" w:lineRule="auto"/>
        <w:ind w:leftChars="342" w:left="718"/>
        <w:rPr>
          <w:color w:val="000000" w:themeColor="text1"/>
          <w:kern w:val="2"/>
          <w:szCs w:val="24"/>
        </w:rPr>
      </w:pPr>
      <w:r>
        <w:rPr>
          <w:rFonts w:hint="eastAsia"/>
          <w:color w:val="000000" w:themeColor="text1"/>
          <w:kern w:val="2"/>
          <w:szCs w:val="24"/>
        </w:rPr>
        <w:t>名称：【中国建设银行股份有限公司河北省分行】</w:t>
      </w:r>
    </w:p>
    <w:p w:rsidR="00066166" w:rsidRDefault="00F62BD0">
      <w:pPr>
        <w:pStyle w:val="NormalJustified"/>
        <w:widowControl w:val="0"/>
        <w:spacing w:beforeLines="100" w:before="312" w:afterLines="100" w:after="312" w:line="300" w:lineRule="auto"/>
        <w:ind w:leftChars="342" w:left="718"/>
        <w:rPr>
          <w:color w:val="000000" w:themeColor="text1"/>
          <w:kern w:val="2"/>
          <w:szCs w:val="24"/>
        </w:rPr>
      </w:pPr>
      <w:r>
        <w:rPr>
          <w:rFonts w:hint="eastAsia"/>
          <w:color w:val="000000" w:themeColor="text1"/>
          <w:kern w:val="2"/>
          <w:szCs w:val="24"/>
        </w:rPr>
        <w:t>住所：【石家庄市自强路</w:t>
      </w:r>
      <w:r>
        <w:rPr>
          <w:rFonts w:hint="eastAsia"/>
          <w:color w:val="000000" w:themeColor="text1"/>
          <w:kern w:val="2"/>
          <w:szCs w:val="24"/>
        </w:rPr>
        <w:t>40</w:t>
      </w:r>
      <w:r>
        <w:rPr>
          <w:rFonts w:hint="eastAsia"/>
          <w:color w:val="000000" w:themeColor="text1"/>
          <w:kern w:val="2"/>
          <w:szCs w:val="24"/>
        </w:rPr>
        <w:t>号】</w:t>
      </w:r>
    </w:p>
    <w:p w:rsidR="00066166" w:rsidRDefault="00066166">
      <w:pPr>
        <w:pStyle w:val="a7"/>
        <w:spacing w:line="264" w:lineRule="auto"/>
        <w:ind w:leftChars="0" w:left="0"/>
        <w:rPr>
          <w:color w:val="000000" w:themeColor="text1"/>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39" w:name="_Toc164487807"/>
      <w:bookmarkStart w:id="40" w:name="_Toc13016381"/>
      <w:bookmarkStart w:id="41" w:name="_Toc91143603"/>
      <w:bookmarkStart w:id="42" w:name="OLE_LINK63"/>
      <w:bookmarkStart w:id="43" w:name="OLE_LINK64"/>
      <w:r>
        <w:rPr>
          <w:color w:val="000000" w:themeColor="text1"/>
          <w:sz w:val="24"/>
          <w:szCs w:val="24"/>
        </w:rPr>
        <w:t>信托目的</w:t>
      </w:r>
      <w:bookmarkEnd w:id="39"/>
      <w:bookmarkEnd w:id="40"/>
      <w:bookmarkEnd w:id="41"/>
    </w:p>
    <w:p w:rsidR="00066166" w:rsidRDefault="00F62BD0">
      <w:pPr>
        <w:pStyle w:val="NormalJustified"/>
        <w:widowControl w:val="0"/>
        <w:spacing w:beforeLines="100" w:before="312" w:afterLines="100" w:after="312" w:line="300" w:lineRule="auto"/>
        <w:ind w:firstLineChars="200" w:firstLine="480"/>
        <w:rPr>
          <w:color w:val="000000" w:themeColor="text1"/>
          <w:kern w:val="2"/>
          <w:szCs w:val="24"/>
        </w:rPr>
      </w:pPr>
      <w:bookmarkStart w:id="44" w:name="_Toc239215462"/>
      <w:bookmarkStart w:id="45" w:name="_Toc239215463"/>
      <w:bookmarkEnd w:id="44"/>
      <w:bookmarkEnd w:id="45"/>
      <w:r>
        <w:rPr>
          <w:color w:val="000000" w:themeColor="text1"/>
          <w:kern w:val="2"/>
          <w:szCs w:val="24"/>
        </w:rPr>
        <w:t>委托人基于对受托人的信任，同意将其合法</w:t>
      </w:r>
      <w:r>
        <w:rPr>
          <w:rFonts w:hint="eastAsia"/>
          <w:color w:val="000000" w:themeColor="text1"/>
          <w:kern w:val="2"/>
          <w:szCs w:val="24"/>
        </w:rPr>
        <w:t>所</w:t>
      </w:r>
      <w:r>
        <w:rPr>
          <w:color w:val="000000" w:themeColor="text1"/>
          <w:kern w:val="2"/>
          <w:szCs w:val="24"/>
        </w:rPr>
        <w:t>有的人民币资金委托给受托人设立信托计划，由受托人依据信托合同的约定以自己的名义，为全体受益人的利益管理、运用和处分信托财产。</w:t>
      </w:r>
    </w:p>
    <w:p w:rsidR="00066166" w:rsidRDefault="00066166">
      <w:pPr>
        <w:pStyle w:val="a7"/>
        <w:spacing w:line="264" w:lineRule="auto"/>
        <w:ind w:leftChars="0" w:left="0"/>
        <w:rPr>
          <w:color w:val="000000" w:themeColor="text1"/>
        </w:rPr>
      </w:pPr>
    </w:p>
    <w:p w:rsidR="00066166" w:rsidRDefault="00F62BD0">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46" w:name="_Toc13016382"/>
      <w:bookmarkStart w:id="47" w:name="_Toc91143604"/>
      <w:bookmarkStart w:id="48" w:name="_Toc164487810"/>
      <w:r>
        <w:rPr>
          <w:color w:val="000000" w:themeColor="text1"/>
          <w:sz w:val="24"/>
          <w:szCs w:val="24"/>
        </w:rPr>
        <w:t>信托计划的基本情况</w:t>
      </w:r>
      <w:bookmarkEnd w:id="46"/>
      <w:bookmarkEnd w:id="47"/>
      <w:bookmarkEnd w:id="48"/>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49" w:name="_Toc164487811"/>
      <w:r>
        <w:rPr>
          <w:rFonts w:ascii="Times New Roman" w:eastAsia="宋体" w:hAnsi="Times New Roman"/>
          <w:color w:val="000000" w:themeColor="text1"/>
          <w:sz w:val="24"/>
          <w:szCs w:val="24"/>
        </w:rPr>
        <w:t>信托计划的名称</w:t>
      </w:r>
      <w:bookmarkEnd w:id="49"/>
    </w:p>
    <w:p w:rsidR="00066166" w:rsidRDefault="00F62BD0">
      <w:pPr>
        <w:pStyle w:val="NormalJustified"/>
        <w:tabs>
          <w:tab w:val="left" w:pos="6320"/>
        </w:tabs>
        <w:spacing w:beforeLines="100" w:before="312" w:afterLines="100" w:after="312" w:line="300" w:lineRule="auto"/>
        <w:ind w:leftChars="342" w:left="718"/>
        <w:rPr>
          <w:color w:val="000000" w:themeColor="text1"/>
          <w:kern w:val="2"/>
          <w:szCs w:val="24"/>
        </w:rPr>
      </w:pPr>
      <w:r>
        <w:rPr>
          <w:color w:val="000000" w:themeColor="text1"/>
          <w:kern w:val="2"/>
          <w:szCs w:val="24"/>
        </w:rPr>
        <w:t>信托计划的名称为</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Pr>
          <w:rFonts w:hint="eastAsia"/>
          <w:color w:val="000000" w:themeColor="text1"/>
          <w:kern w:val="2"/>
          <w:szCs w:val="24"/>
        </w:rPr>
        <w:t>建盈稳冀</w:t>
      </w:r>
      <w:r>
        <w:rPr>
          <w:rFonts w:hint="eastAsia"/>
          <w:color w:val="000000" w:themeColor="text1"/>
          <w:kern w:val="2"/>
          <w:szCs w:val="24"/>
        </w:rPr>
        <w:t>2</w:t>
      </w:r>
      <w:r>
        <w:rPr>
          <w:rFonts w:hint="eastAsia"/>
          <w:color w:val="000000" w:themeColor="text1"/>
          <w:kern w:val="2"/>
          <w:szCs w:val="24"/>
        </w:rPr>
        <w:t>号</w:t>
      </w:r>
      <w:r>
        <w:rPr>
          <w:rFonts w:hint="eastAsia"/>
          <w:color w:val="000000" w:themeColor="text1"/>
          <w:kern w:val="2"/>
          <w:szCs w:val="24"/>
        </w:rPr>
        <w:t>集合资金信托计划</w:t>
      </w:r>
      <w:r>
        <w:rPr>
          <w:color w:val="000000" w:themeColor="text1"/>
          <w:kern w:val="2"/>
          <w:szCs w:val="24"/>
        </w:rPr>
        <w:t>”</w:t>
      </w:r>
      <w:r>
        <w:rPr>
          <w:color w:val="000000" w:themeColor="text1"/>
          <w:kern w:val="2"/>
          <w:szCs w:val="24"/>
        </w:rPr>
        <w:t>。</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50" w:name="_Toc241925845"/>
      <w:bookmarkStart w:id="51" w:name="_Toc241925846"/>
      <w:bookmarkStart w:id="52" w:name="_Ref262748493"/>
      <w:bookmarkStart w:id="53" w:name="_Ref244620009"/>
      <w:bookmarkStart w:id="54" w:name="_Toc164487814"/>
      <w:bookmarkEnd w:id="50"/>
      <w:bookmarkEnd w:id="51"/>
      <w:r>
        <w:rPr>
          <w:rFonts w:ascii="Times New Roman" w:eastAsia="宋体" w:hAnsi="Times New Roman"/>
          <w:color w:val="000000" w:themeColor="text1"/>
          <w:sz w:val="24"/>
          <w:szCs w:val="24"/>
        </w:rPr>
        <w:t>信托计划的规模</w:t>
      </w:r>
      <w:bookmarkEnd w:id="52"/>
      <w:bookmarkEnd w:id="53"/>
      <w:bookmarkEnd w:id="54"/>
    </w:p>
    <w:p w:rsidR="00066166" w:rsidRDefault="00F62BD0">
      <w:pPr>
        <w:pStyle w:val="NormalJustified"/>
        <w:widowControl w:val="0"/>
        <w:tabs>
          <w:tab w:val="left" w:pos="6320"/>
        </w:tabs>
        <w:spacing w:beforeLines="100" w:before="312" w:afterLines="100" w:after="312" w:line="300" w:lineRule="auto"/>
        <w:ind w:leftChars="342" w:left="718"/>
        <w:rPr>
          <w:color w:val="000000" w:themeColor="text1"/>
        </w:rPr>
      </w:pPr>
      <w:bookmarkStart w:id="55" w:name="_Hlk22739626"/>
      <w:r>
        <w:rPr>
          <w:rFonts w:hint="eastAsia"/>
          <w:color w:val="000000" w:themeColor="text1"/>
        </w:rPr>
        <w:t>除信托文件另有约定，本信托计划的募集规模为不超过</w:t>
      </w:r>
      <w:bookmarkStart w:id="56" w:name="_Hlk75981298"/>
      <w:r>
        <w:rPr>
          <w:rFonts w:hint="eastAsia"/>
          <w:color w:val="000000" w:themeColor="text1"/>
        </w:rPr>
        <w:t>【</w:t>
      </w:r>
      <w:r>
        <w:rPr>
          <w:color w:val="000000" w:themeColor="text1"/>
        </w:rPr>
        <w:t>1,000</w:t>
      </w:r>
      <w:r>
        <w:rPr>
          <w:rFonts w:hint="eastAsia"/>
          <w:color w:val="000000" w:themeColor="text1"/>
        </w:rPr>
        <w:t>,</w:t>
      </w:r>
      <w:r>
        <w:rPr>
          <w:color w:val="000000" w:themeColor="text1"/>
        </w:rPr>
        <w:t>000</w:t>
      </w:r>
      <w:r>
        <w:rPr>
          <w:rFonts w:hint="eastAsia"/>
          <w:color w:val="000000" w:themeColor="text1"/>
        </w:rPr>
        <w:t>,</w:t>
      </w:r>
      <w:r>
        <w:rPr>
          <w:color w:val="000000" w:themeColor="text1"/>
        </w:rPr>
        <w:t>000</w:t>
      </w:r>
      <w:r>
        <w:rPr>
          <w:rFonts w:hint="eastAsia"/>
          <w:color w:val="000000" w:themeColor="text1"/>
        </w:rPr>
        <w:t>】元（大写：人民币【</w:t>
      </w:r>
      <w:r>
        <w:rPr>
          <w:rFonts w:hint="eastAsia"/>
          <w:color w:val="000000" w:themeColor="text1"/>
          <w:lang w:eastAsia="zh-Hans"/>
        </w:rPr>
        <w:t>壹拾</w:t>
      </w:r>
      <w:r>
        <w:rPr>
          <w:rFonts w:hint="eastAsia"/>
          <w:color w:val="000000" w:themeColor="text1"/>
        </w:rPr>
        <w:t>亿】元整，以实际募集资金规模为准）</w:t>
      </w:r>
      <w:r>
        <w:rPr>
          <w:color w:val="000000"/>
          <w:lang w:eastAsia="zh-Hans"/>
        </w:rPr>
        <w:t>，</w:t>
      </w:r>
      <w:r>
        <w:rPr>
          <w:rFonts w:hint="eastAsia"/>
          <w:color w:val="000000" w:themeColor="text1"/>
        </w:rPr>
        <w:t>最低募集规模为人民币【</w:t>
      </w:r>
      <w:r>
        <w:rPr>
          <w:color w:val="000000" w:themeColor="text1"/>
        </w:rPr>
        <w:t>1,000</w:t>
      </w:r>
      <w:r>
        <w:rPr>
          <w:rFonts w:hint="eastAsia"/>
          <w:color w:val="000000" w:themeColor="text1"/>
        </w:rPr>
        <w:t>】万元（大写</w:t>
      </w:r>
      <w:bookmarkEnd w:id="56"/>
      <w:r>
        <w:rPr>
          <w:rFonts w:hint="eastAsia"/>
          <w:color w:val="000000" w:themeColor="text1"/>
        </w:rPr>
        <w:t>【壹仟万元整】，以下简称“最低募集规模”），具体以实际募集规模为准。</w:t>
      </w:r>
      <w:bookmarkEnd w:id="55"/>
    </w:p>
    <w:p w:rsidR="00066166" w:rsidRDefault="00F62BD0">
      <w:pPr>
        <w:pStyle w:val="NormalJustified"/>
        <w:widowControl w:val="0"/>
        <w:tabs>
          <w:tab w:val="left" w:pos="6320"/>
        </w:tabs>
        <w:spacing w:beforeLines="100" w:before="312" w:afterLines="100" w:after="312" w:line="300" w:lineRule="auto"/>
        <w:ind w:leftChars="342" w:left="718"/>
        <w:rPr>
          <w:color w:val="000000" w:themeColor="text1"/>
        </w:rPr>
      </w:pPr>
      <w:r>
        <w:rPr>
          <w:rFonts w:hint="eastAsia"/>
          <w:color w:val="000000" w:themeColor="text1"/>
        </w:rPr>
        <w:t>信托计划推介期内，受托人有权根据信托计划实际募集情况调整最低募集</w:t>
      </w:r>
      <w:r>
        <w:rPr>
          <w:rFonts w:hint="eastAsia"/>
          <w:color w:val="000000" w:themeColor="text1"/>
        </w:rPr>
        <w:lastRenderedPageBreak/>
        <w:t>规模并通过信托合同约定的披露方式向投资者进行披露。</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57" w:name="_Toc241925848"/>
      <w:bookmarkStart w:id="58" w:name="_Ref247015719"/>
      <w:bookmarkStart w:id="59" w:name="_Toc164487815"/>
      <w:bookmarkStart w:id="60" w:name="_Ref244790382"/>
      <w:bookmarkEnd w:id="57"/>
      <w:r>
        <w:rPr>
          <w:rFonts w:ascii="Times New Roman" w:eastAsia="宋体" w:hAnsi="Times New Roman"/>
          <w:color w:val="000000" w:themeColor="text1"/>
          <w:sz w:val="24"/>
          <w:szCs w:val="24"/>
        </w:rPr>
        <w:t>信托计划的成立</w:t>
      </w:r>
      <w:bookmarkEnd w:id="58"/>
      <w:bookmarkEnd w:id="59"/>
      <w:bookmarkEnd w:id="6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本信托计划项下</w:t>
      </w:r>
      <w:r>
        <w:rPr>
          <w:rFonts w:hint="eastAsia"/>
          <w:color w:val="000000" w:themeColor="text1"/>
          <w:kern w:val="2"/>
          <w:szCs w:val="24"/>
        </w:rPr>
        <w:t>推介</w:t>
      </w:r>
      <w:r>
        <w:rPr>
          <w:color w:val="000000" w:themeColor="text1"/>
          <w:kern w:val="2"/>
          <w:szCs w:val="24"/>
        </w:rPr>
        <w:t>期</w:t>
      </w:r>
      <w:r>
        <w:rPr>
          <w:rFonts w:hAnsi="宋体" w:hint="eastAsia"/>
          <w:color w:val="000000" w:themeColor="text1"/>
          <w:kern w:val="2"/>
          <w:szCs w:val="24"/>
        </w:rPr>
        <w:t>为</w:t>
      </w:r>
      <w:r>
        <w:rPr>
          <w:rFonts w:hAnsi="宋体"/>
          <w:color w:val="000000" w:themeColor="text1"/>
          <w:kern w:val="2"/>
          <w:szCs w:val="24"/>
        </w:rPr>
        <w:t>自</w:t>
      </w:r>
      <w:r>
        <w:rPr>
          <w:rFonts w:hAnsi="宋体" w:hint="eastAsia"/>
          <w:color w:val="000000" w:themeColor="text1"/>
          <w:kern w:val="2"/>
          <w:szCs w:val="24"/>
        </w:rPr>
        <w:t>【</w:t>
      </w:r>
      <w:r>
        <w:rPr>
          <w:rFonts w:hAnsi="宋体" w:hint="eastAsia"/>
          <w:color w:val="000000" w:themeColor="text1"/>
          <w:kern w:val="2"/>
          <w:szCs w:val="24"/>
        </w:rPr>
        <w:t>2</w:t>
      </w:r>
      <w:r>
        <w:rPr>
          <w:rFonts w:hAnsi="宋体"/>
          <w:color w:val="000000" w:themeColor="text1"/>
          <w:kern w:val="2"/>
          <w:szCs w:val="24"/>
        </w:rPr>
        <w:t>02</w:t>
      </w:r>
      <w:r>
        <w:rPr>
          <w:rFonts w:hAnsi="宋体" w:hint="eastAsia"/>
          <w:color w:val="000000" w:themeColor="text1"/>
          <w:kern w:val="2"/>
          <w:szCs w:val="24"/>
        </w:rPr>
        <w:t>2</w:t>
      </w:r>
      <w:r>
        <w:rPr>
          <w:rFonts w:hAnsi="宋体" w:hint="eastAsia"/>
          <w:color w:val="000000" w:themeColor="text1"/>
          <w:kern w:val="2"/>
          <w:szCs w:val="24"/>
        </w:rPr>
        <w:t>】年【</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】月【</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】日至【</w:t>
      </w:r>
      <w:r>
        <w:rPr>
          <w:rFonts w:hAnsi="宋体" w:hint="eastAsia"/>
          <w:color w:val="000000" w:themeColor="text1"/>
          <w:kern w:val="2"/>
          <w:szCs w:val="24"/>
        </w:rPr>
        <w:t>2</w:t>
      </w:r>
      <w:r>
        <w:rPr>
          <w:rFonts w:hAnsi="宋体"/>
          <w:color w:val="000000" w:themeColor="text1"/>
          <w:kern w:val="2"/>
          <w:szCs w:val="24"/>
        </w:rPr>
        <w:t>02</w:t>
      </w:r>
      <w:r>
        <w:rPr>
          <w:rFonts w:hAnsi="宋体" w:hint="eastAsia"/>
          <w:color w:val="000000" w:themeColor="text1"/>
          <w:kern w:val="2"/>
          <w:szCs w:val="24"/>
        </w:rPr>
        <w:t>2</w:t>
      </w:r>
      <w:r>
        <w:rPr>
          <w:rFonts w:hAnsi="宋体" w:hint="eastAsia"/>
          <w:color w:val="000000" w:themeColor="text1"/>
          <w:kern w:val="2"/>
          <w:szCs w:val="24"/>
        </w:rPr>
        <w:t>】年【</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】月【</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】日</w:t>
      </w:r>
      <w:r>
        <w:rPr>
          <w:rFonts w:hAnsi="宋体"/>
          <w:color w:val="000000" w:themeColor="text1"/>
          <w:kern w:val="2"/>
          <w:szCs w:val="24"/>
        </w:rPr>
        <w:t>。受托人有权根据</w:t>
      </w:r>
      <w:r>
        <w:rPr>
          <w:color w:val="000000" w:themeColor="text1"/>
          <w:kern w:val="2"/>
          <w:szCs w:val="24"/>
        </w:rPr>
        <w:t>信托计划的</w:t>
      </w:r>
      <w:r>
        <w:rPr>
          <w:rFonts w:hint="eastAsia"/>
          <w:color w:val="000000" w:themeColor="text1"/>
          <w:kern w:val="2"/>
          <w:szCs w:val="24"/>
        </w:rPr>
        <w:t>募集</w:t>
      </w:r>
      <w:r>
        <w:rPr>
          <w:color w:val="000000" w:themeColor="text1"/>
          <w:kern w:val="2"/>
          <w:szCs w:val="24"/>
        </w:rPr>
        <w:t>情况决定延长或缩短</w:t>
      </w:r>
      <w:r>
        <w:rPr>
          <w:rFonts w:hint="eastAsia"/>
          <w:color w:val="000000" w:themeColor="text1"/>
          <w:kern w:val="2"/>
          <w:szCs w:val="24"/>
        </w:rPr>
        <w:t>推介期</w:t>
      </w:r>
      <w:r>
        <w:rPr>
          <w:color w:val="000000" w:themeColor="text1"/>
          <w:kern w:val="2"/>
          <w:szCs w:val="24"/>
        </w:rPr>
        <w:t>，并在信托计划成立后</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向受益人披露（该等披露视为对受益人的通知）。</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61" w:name="_Ref243282905"/>
      <w:r>
        <w:rPr>
          <w:color w:val="000000" w:themeColor="text1"/>
        </w:rPr>
        <w:t xml:space="preserve"> </w:t>
      </w:r>
      <w:r>
        <w:rPr>
          <w:color w:val="000000" w:themeColor="text1"/>
        </w:rPr>
        <w:t>信托计划在如下条件（以下简称</w:t>
      </w:r>
      <w:r>
        <w:rPr>
          <w:color w:val="000000" w:themeColor="text1"/>
        </w:rPr>
        <w:t>“</w:t>
      </w:r>
      <w:r>
        <w:rPr>
          <w:color w:val="000000" w:themeColor="text1"/>
        </w:rPr>
        <w:t>信托计划成立条件</w:t>
      </w:r>
      <w:r>
        <w:rPr>
          <w:color w:val="000000" w:themeColor="text1"/>
        </w:rPr>
        <w:t>”</w:t>
      </w:r>
      <w:r>
        <w:rPr>
          <w:color w:val="000000" w:themeColor="text1"/>
        </w:rPr>
        <w:t>）均获得满足</w:t>
      </w:r>
      <w:r>
        <w:rPr>
          <w:rFonts w:hint="eastAsia"/>
          <w:color w:val="000000" w:themeColor="text1"/>
        </w:rPr>
        <w:t>后，受托人有权随时宣告本信托计划成立</w:t>
      </w:r>
      <w:r>
        <w:rPr>
          <w:color w:val="000000" w:themeColor="text1"/>
        </w:rPr>
        <w:t>（</w:t>
      </w:r>
      <w:r>
        <w:rPr>
          <w:rFonts w:hint="eastAsia"/>
          <w:color w:val="000000" w:themeColor="text1"/>
        </w:rPr>
        <w:t>受托人宣告本信托计划成立之日为</w:t>
      </w:r>
      <w:r>
        <w:rPr>
          <w:color w:val="000000" w:themeColor="text1"/>
        </w:rPr>
        <w:t>“</w:t>
      </w:r>
      <w:r>
        <w:rPr>
          <w:color w:val="000000" w:themeColor="text1"/>
        </w:rPr>
        <w:t>信托计划成立日</w:t>
      </w:r>
      <w:r>
        <w:rPr>
          <w:color w:val="000000" w:themeColor="text1"/>
        </w:rPr>
        <w:t>”</w:t>
      </w:r>
      <w:r>
        <w:rPr>
          <w:color w:val="000000" w:themeColor="text1"/>
        </w:rPr>
        <w:t>）</w:t>
      </w:r>
      <w:r>
        <w:rPr>
          <w:rFonts w:hint="eastAsia"/>
          <w:color w:val="000000" w:themeColor="text1"/>
        </w:rPr>
        <w:t>，本信托计划于</w:t>
      </w:r>
      <w:r>
        <w:rPr>
          <w:rFonts w:hint="eastAsia"/>
        </w:rPr>
        <w:t>信托计划</w:t>
      </w:r>
      <w:r>
        <w:rPr>
          <w:rFonts w:hint="eastAsia"/>
          <w:color w:val="000000" w:themeColor="text1"/>
        </w:rPr>
        <w:t>成立日生效</w:t>
      </w:r>
      <w:r>
        <w:rPr>
          <w:color w:val="000000" w:themeColor="text1"/>
        </w:rPr>
        <w:t>：</w:t>
      </w:r>
      <w:bookmarkEnd w:id="61"/>
    </w:p>
    <w:p w:rsidR="00066166" w:rsidRDefault="00F62BD0">
      <w:pPr>
        <w:pStyle w:val="NormalJustified"/>
        <w:widowControl w:val="0"/>
        <w:numPr>
          <w:ilvl w:val="0"/>
          <w:numId w:val="5"/>
        </w:numPr>
        <w:spacing w:beforeLines="100" w:before="312" w:afterLines="100" w:after="312" w:line="300" w:lineRule="auto"/>
        <w:rPr>
          <w:color w:val="000000" w:themeColor="text1"/>
        </w:rPr>
      </w:pPr>
      <w:bookmarkStart w:id="62" w:name="_Hlk22739637"/>
      <w:r>
        <w:rPr>
          <w:rFonts w:hAnsi="宋体" w:hint="eastAsia"/>
          <w:color w:val="000000" w:themeColor="text1"/>
        </w:rPr>
        <w:t>信托资金</w:t>
      </w:r>
      <w:r>
        <w:rPr>
          <w:rFonts w:hAnsi="宋体"/>
          <w:color w:val="000000" w:themeColor="text1"/>
        </w:rPr>
        <w:t>募集</w:t>
      </w:r>
      <w:r>
        <w:rPr>
          <w:rFonts w:hAnsi="宋体" w:hint="eastAsia"/>
          <w:color w:val="000000" w:themeColor="text1"/>
        </w:rPr>
        <w:t>规模</w:t>
      </w:r>
      <w:r>
        <w:rPr>
          <w:rFonts w:hint="eastAsia"/>
          <w:color w:val="000000" w:themeColor="text1"/>
        </w:rPr>
        <w:t>不低于最低募集规模；</w:t>
      </w:r>
    </w:p>
    <w:p w:rsidR="00066166" w:rsidRDefault="00F62BD0">
      <w:pPr>
        <w:pStyle w:val="NormalJustified"/>
        <w:widowControl w:val="0"/>
        <w:numPr>
          <w:ilvl w:val="0"/>
          <w:numId w:val="5"/>
        </w:numPr>
        <w:spacing w:beforeLines="100" w:before="312" w:afterLines="100" w:after="312" w:line="300" w:lineRule="auto"/>
        <w:rPr>
          <w:color w:val="000000" w:themeColor="text1"/>
        </w:rPr>
      </w:pPr>
      <w:r>
        <w:rPr>
          <w:rFonts w:hAnsi="宋体"/>
          <w:color w:val="000000" w:themeColor="text1"/>
          <w:szCs w:val="24"/>
        </w:rPr>
        <w:t>《</w:t>
      </w:r>
      <w:r>
        <w:rPr>
          <w:rFonts w:hAnsi="宋体" w:hint="eastAsia"/>
          <w:color w:val="000000" w:themeColor="text1"/>
          <w:szCs w:val="24"/>
        </w:rPr>
        <w:t>保管协议</w:t>
      </w:r>
      <w:r>
        <w:rPr>
          <w:rFonts w:hAnsi="宋体"/>
          <w:color w:val="000000" w:themeColor="text1"/>
          <w:szCs w:val="24"/>
        </w:rPr>
        <w:t>》</w:t>
      </w:r>
      <w:r>
        <w:rPr>
          <w:rFonts w:hAnsi="宋体" w:hint="eastAsia"/>
          <w:color w:val="000000" w:themeColor="text1"/>
          <w:szCs w:val="24"/>
        </w:rPr>
        <w:t>、《代理推介合作协议》及其他受托人认为信托计划开展所必须的交易文件已签署生效；</w:t>
      </w:r>
      <w:bookmarkEnd w:id="62"/>
    </w:p>
    <w:p w:rsidR="00066166" w:rsidRDefault="00F62BD0">
      <w:pPr>
        <w:pStyle w:val="NormalJustified"/>
        <w:widowControl w:val="0"/>
        <w:numPr>
          <w:ilvl w:val="0"/>
          <w:numId w:val="5"/>
        </w:numPr>
        <w:spacing w:beforeLines="100" w:before="312" w:afterLines="100" w:after="312" w:line="300" w:lineRule="auto"/>
        <w:rPr>
          <w:color w:val="000000" w:themeColor="text1"/>
          <w:kern w:val="2"/>
        </w:rPr>
      </w:pPr>
      <w:r>
        <w:rPr>
          <w:rFonts w:hint="eastAsia"/>
          <w:color w:val="000000" w:themeColor="text1"/>
        </w:rPr>
        <w:t>本信托计划的推介期</w:t>
      </w:r>
      <w:r>
        <w:rPr>
          <w:snapToGrid w:val="0"/>
          <w:color w:val="000000" w:themeColor="text1"/>
          <w:kern w:val="0"/>
        </w:rPr>
        <w:t>届满</w:t>
      </w:r>
      <w:r>
        <w:rPr>
          <w:rFonts w:hint="eastAsia"/>
          <w:snapToGrid w:val="0"/>
          <w:color w:val="000000" w:themeColor="text1"/>
          <w:kern w:val="0"/>
        </w:rPr>
        <w:t>；</w:t>
      </w:r>
    </w:p>
    <w:p w:rsidR="00066166" w:rsidRDefault="00F62BD0">
      <w:pPr>
        <w:pStyle w:val="NormalJustified"/>
        <w:widowControl w:val="0"/>
        <w:numPr>
          <w:ilvl w:val="0"/>
          <w:numId w:val="5"/>
        </w:numPr>
        <w:spacing w:beforeLines="100" w:before="312" w:afterLines="100" w:after="312" w:line="300" w:lineRule="auto"/>
        <w:rPr>
          <w:color w:val="000000" w:themeColor="text1"/>
          <w:kern w:val="2"/>
        </w:rPr>
      </w:pPr>
      <w:r>
        <w:rPr>
          <w:rFonts w:hint="eastAsia"/>
          <w:snapToGrid w:val="0"/>
          <w:color w:val="000000" w:themeColor="text1"/>
          <w:kern w:val="0"/>
        </w:rPr>
        <w:t>受托人认为需要满足的其他条件</w:t>
      </w:r>
      <w:r>
        <w:rPr>
          <w:color w:val="000000" w:themeColor="text1"/>
        </w:rPr>
        <w:t>。</w:t>
      </w:r>
    </w:p>
    <w:p w:rsidR="00066166" w:rsidRDefault="00F62BD0">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bookmarkStart w:id="63" w:name="_Ref175843128"/>
      <w:bookmarkStart w:id="64" w:name="_Ref221678189"/>
      <w:r>
        <w:rPr>
          <w:rFonts w:hAnsi="宋体"/>
          <w:color w:val="000000" w:themeColor="text1"/>
        </w:rPr>
        <w:t xml:space="preserve"> </w:t>
      </w:r>
      <w:r>
        <w:rPr>
          <w:rFonts w:hAnsi="宋体"/>
          <w:color w:val="000000" w:themeColor="text1"/>
        </w:rPr>
        <w:t>在</w:t>
      </w:r>
      <w:r>
        <w:rPr>
          <w:rFonts w:hAnsi="宋体" w:hint="eastAsia"/>
          <w:color w:val="000000" w:themeColor="text1"/>
        </w:rPr>
        <w:t>推介期</w:t>
      </w:r>
      <w:r>
        <w:rPr>
          <w:rFonts w:hAnsi="宋体"/>
          <w:color w:val="000000" w:themeColor="text1"/>
        </w:rPr>
        <w:t>届满之日，若信托计划成立条件仍未获得满足，则信托计划不成立</w:t>
      </w:r>
      <w:r>
        <w:rPr>
          <w:rFonts w:hAnsi="宋体" w:hint="eastAsia"/>
          <w:color w:val="000000" w:themeColor="text1"/>
        </w:rPr>
        <w:t>。</w:t>
      </w:r>
    </w:p>
    <w:p w:rsidR="00066166" w:rsidRDefault="00F62BD0">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 xml:space="preserve"> </w:t>
      </w:r>
      <w:r>
        <w:rPr>
          <w:rFonts w:hint="eastAsia"/>
          <w:color w:val="000000" w:themeColor="text1"/>
        </w:rPr>
        <w:t>如在信托计划的推介期届满前受托人宣告本信托计划成立的，则本信托计划的推介期提前届满。</w:t>
      </w:r>
      <w:bookmarkEnd w:id="63"/>
      <w:bookmarkEnd w:id="64"/>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信托计划成立后，受托人应当在</w:t>
      </w:r>
      <w:r>
        <w:rPr>
          <w:rFonts w:hint="eastAsia"/>
          <w:color w:val="000000" w:themeColor="text1"/>
          <w:kern w:val="2"/>
          <w:szCs w:val="24"/>
        </w:rPr>
        <w:t>5</w:t>
      </w:r>
      <w:r>
        <w:rPr>
          <w:color w:val="000000" w:themeColor="text1"/>
          <w:kern w:val="2"/>
          <w:szCs w:val="24"/>
        </w:rPr>
        <w:t>个工作日内向委托人披露信托计划的推介、设立情况。</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65" w:name="_Toc164487816"/>
      <w:bookmarkStart w:id="66" w:name="_Ref237162631"/>
      <w:r>
        <w:rPr>
          <w:rFonts w:ascii="Times New Roman" w:eastAsia="宋体" w:hAnsi="Times New Roman"/>
          <w:color w:val="000000" w:themeColor="text1"/>
          <w:sz w:val="24"/>
          <w:szCs w:val="24"/>
        </w:rPr>
        <w:t>信托计划的期限</w:t>
      </w:r>
      <w:bookmarkEnd w:id="65"/>
      <w:bookmarkEnd w:id="66"/>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bookmarkStart w:id="67" w:name="_Ref237166211"/>
      <w:bookmarkStart w:id="68" w:name="OLE_LINK53"/>
      <w:bookmarkStart w:id="69" w:name="_Ref292551891"/>
      <w:bookmarkStart w:id="70" w:name="OLE_LINK44"/>
      <w:r>
        <w:rPr>
          <w:b/>
          <w:bCs/>
          <w:color w:val="000000" w:themeColor="text1"/>
          <w:kern w:val="2"/>
          <w:szCs w:val="24"/>
        </w:rPr>
        <w:t xml:space="preserve"> </w:t>
      </w:r>
      <w:r>
        <w:rPr>
          <w:rFonts w:hint="eastAsia"/>
          <w:b/>
          <w:bCs/>
          <w:color w:val="000000" w:themeColor="text1"/>
          <w:kern w:val="2"/>
          <w:szCs w:val="24"/>
        </w:rPr>
        <w:t>本信托计划的预计期限</w:t>
      </w:r>
      <w:r>
        <w:rPr>
          <w:rFonts w:hint="eastAsia"/>
          <w:b/>
          <w:bCs/>
          <w:color w:val="000000" w:themeColor="text1"/>
          <w:kern w:val="2"/>
        </w:rPr>
        <w:t>自信托计划成立日</w:t>
      </w:r>
      <w:r>
        <w:rPr>
          <w:rFonts w:hint="eastAsia"/>
          <w:b/>
          <w:bCs/>
          <w:color w:val="000000" w:themeColor="text1"/>
          <w:kern w:val="2"/>
          <w:szCs w:val="24"/>
        </w:rPr>
        <w:t>（含该日）起至</w:t>
      </w:r>
      <w:r>
        <w:rPr>
          <w:rFonts w:hint="eastAsia"/>
          <w:b/>
          <w:bCs/>
          <w:color w:val="000000" w:themeColor="text1"/>
          <w:kern w:val="2"/>
        </w:rPr>
        <w:t>信托计划</w:t>
      </w:r>
      <w:r>
        <w:rPr>
          <w:rFonts w:hint="eastAsia"/>
          <w:b/>
          <w:bCs/>
          <w:color w:val="000000" w:themeColor="text1"/>
          <w:kern w:val="2"/>
          <w:szCs w:val="24"/>
        </w:rPr>
        <w:t>成立日起届满【</w:t>
      </w:r>
      <w:r>
        <w:rPr>
          <w:b/>
          <w:bCs/>
          <w:color w:val="000000" w:themeColor="text1"/>
          <w:kern w:val="2"/>
          <w:szCs w:val="24"/>
        </w:rPr>
        <w:t>10</w:t>
      </w:r>
      <w:r>
        <w:rPr>
          <w:rFonts w:hint="eastAsia"/>
          <w:b/>
          <w:bCs/>
          <w:color w:val="000000" w:themeColor="text1"/>
          <w:kern w:val="2"/>
          <w:szCs w:val="24"/>
        </w:rPr>
        <w:t>】年之日（不含该日）。</w:t>
      </w:r>
      <w:r>
        <w:rPr>
          <w:rFonts w:hAnsi="宋体"/>
          <w:b/>
          <w:bCs/>
          <w:color w:val="000000" w:themeColor="text1"/>
        </w:rPr>
        <w:t>如发生信托文件</w:t>
      </w:r>
      <w:r>
        <w:rPr>
          <w:rFonts w:hAnsi="宋体" w:hint="eastAsia"/>
          <w:b/>
          <w:bCs/>
          <w:color w:val="000000" w:themeColor="text1"/>
        </w:rPr>
        <w:t>约定</w:t>
      </w:r>
      <w:r>
        <w:rPr>
          <w:rFonts w:hAnsi="宋体"/>
          <w:b/>
          <w:bCs/>
          <w:color w:val="000000" w:themeColor="text1"/>
        </w:rPr>
        <w:t>的信托计划提前终止情形时，本信托计划提前终止。</w:t>
      </w:r>
      <w:bookmarkStart w:id="71" w:name="OLE_LINK54"/>
      <w:bookmarkStart w:id="72" w:name="OLE_LINK65"/>
      <w:r>
        <w:rPr>
          <w:rFonts w:hAnsi="宋体"/>
          <w:b/>
          <w:bCs/>
          <w:color w:val="000000" w:themeColor="text1"/>
        </w:rPr>
        <w:t>若信托</w:t>
      </w:r>
      <w:r>
        <w:rPr>
          <w:rFonts w:hAnsi="宋体" w:hint="eastAsia"/>
          <w:b/>
          <w:bCs/>
          <w:color w:val="000000" w:themeColor="text1"/>
        </w:rPr>
        <w:t>计划的</w:t>
      </w:r>
      <w:r>
        <w:rPr>
          <w:rFonts w:hAnsi="宋体"/>
          <w:b/>
          <w:bCs/>
          <w:color w:val="000000" w:themeColor="text1"/>
        </w:rPr>
        <w:t>期限届满时，信托财产尚未全部变现的，</w:t>
      </w:r>
      <w:r>
        <w:rPr>
          <w:rFonts w:hAnsi="宋体" w:hint="eastAsia"/>
          <w:b/>
          <w:bCs/>
          <w:color w:val="000000" w:themeColor="text1"/>
        </w:rPr>
        <w:t>信托计划的</w:t>
      </w:r>
      <w:r>
        <w:rPr>
          <w:rFonts w:hAnsi="宋体"/>
          <w:b/>
          <w:bCs/>
          <w:color w:val="000000" w:themeColor="text1"/>
        </w:rPr>
        <w:t>期限应顺延至信托财产</w:t>
      </w:r>
      <w:r>
        <w:rPr>
          <w:rFonts w:hAnsi="宋体" w:hint="eastAsia"/>
          <w:b/>
          <w:bCs/>
          <w:color w:val="000000" w:themeColor="text1"/>
        </w:rPr>
        <w:t>全部</w:t>
      </w:r>
      <w:r>
        <w:rPr>
          <w:rFonts w:hAnsi="宋体"/>
          <w:b/>
          <w:bCs/>
          <w:color w:val="000000" w:themeColor="text1"/>
        </w:rPr>
        <w:t>变现之日止</w:t>
      </w:r>
      <w:r>
        <w:rPr>
          <w:rFonts w:hAnsi="宋体" w:hint="eastAsia"/>
          <w:b/>
          <w:bCs/>
          <w:color w:val="000000" w:themeColor="text1"/>
          <w:kern w:val="2"/>
        </w:rPr>
        <w:t>。为避免疑义，前述提前终止或延期情形，</w:t>
      </w:r>
      <w:r>
        <w:rPr>
          <w:rFonts w:hAnsi="宋体" w:hint="eastAsia"/>
          <w:b/>
          <w:bCs/>
          <w:color w:val="000000" w:themeColor="text1"/>
        </w:rPr>
        <w:t>无需召开受益人大会。</w:t>
      </w:r>
      <w:bookmarkEnd w:id="67"/>
      <w:bookmarkEnd w:id="68"/>
      <w:bookmarkEnd w:id="69"/>
      <w:bookmarkEnd w:id="70"/>
      <w:bookmarkEnd w:id="71"/>
      <w:bookmarkEnd w:id="72"/>
    </w:p>
    <w:p w:rsidR="00066166" w:rsidRDefault="00066166">
      <w:pPr>
        <w:pStyle w:val="NormalJustified"/>
        <w:widowControl w:val="0"/>
        <w:tabs>
          <w:tab w:val="left" w:pos="993"/>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73" w:name="_Toc91143605"/>
      <w:bookmarkStart w:id="74" w:name="_Toc13016383"/>
      <w:bookmarkStart w:id="75" w:name="_Toc241921959"/>
      <w:r>
        <w:rPr>
          <w:color w:val="000000" w:themeColor="text1"/>
          <w:sz w:val="24"/>
          <w:szCs w:val="24"/>
        </w:rPr>
        <w:t>信托受益权、受益人和信托单位</w:t>
      </w:r>
      <w:bookmarkEnd w:id="73"/>
      <w:bookmarkEnd w:id="74"/>
      <w:bookmarkEnd w:id="75"/>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76" w:name="_Toc241921960"/>
      <w:r>
        <w:rPr>
          <w:rFonts w:ascii="Times New Roman" w:eastAsia="宋体" w:hAnsi="Times New Roman"/>
          <w:color w:val="000000" w:themeColor="text1"/>
          <w:sz w:val="24"/>
          <w:szCs w:val="24"/>
        </w:rPr>
        <w:t>信托受益权</w:t>
      </w:r>
      <w:bookmarkEnd w:id="76"/>
    </w:p>
    <w:p w:rsidR="00066166" w:rsidRDefault="00F62BD0">
      <w:pPr>
        <w:pStyle w:val="NormalJustified"/>
        <w:widowControl w:val="0"/>
        <w:spacing w:beforeLines="100" w:before="312" w:afterLines="100" w:after="312" w:line="300" w:lineRule="auto"/>
        <w:ind w:left="720"/>
        <w:rPr>
          <w:color w:val="000000" w:themeColor="text1"/>
          <w:kern w:val="2"/>
          <w:szCs w:val="24"/>
        </w:rPr>
      </w:pPr>
      <w:bookmarkStart w:id="77" w:name="_Hlk24027605"/>
      <w:r>
        <w:rPr>
          <w:color w:val="000000" w:themeColor="text1"/>
          <w:kern w:val="2"/>
          <w:szCs w:val="24"/>
        </w:rPr>
        <w:t>信托计划的信托受益权均划分为等额的信托单位。除信托合同约定的以外，信托</w:t>
      </w:r>
      <w:r>
        <w:rPr>
          <w:rFonts w:hint="eastAsia"/>
          <w:color w:val="000000" w:themeColor="text1"/>
          <w:kern w:val="2"/>
          <w:szCs w:val="24"/>
        </w:rPr>
        <w:t>计划</w:t>
      </w:r>
      <w:r>
        <w:rPr>
          <w:color w:val="000000" w:themeColor="text1"/>
          <w:kern w:val="2"/>
          <w:szCs w:val="24"/>
        </w:rPr>
        <w:t>不产生任何其他</w:t>
      </w:r>
      <w:r>
        <w:rPr>
          <w:rFonts w:hint="eastAsia"/>
          <w:color w:val="000000" w:themeColor="text1"/>
          <w:kern w:val="2"/>
          <w:szCs w:val="24"/>
        </w:rPr>
        <w:t>信托</w:t>
      </w:r>
      <w:r>
        <w:rPr>
          <w:color w:val="000000" w:themeColor="text1"/>
          <w:kern w:val="2"/>
          <w:szCs w:val="24"/>
        </w:rPr>
        <w:t>受益权，且信托</w:t>
      </w:r>
      <w:r>
        <w:rPr>
          <w:rFonts w:hint="eastAsia"/>
          <w:color w:val="000000" w:themeColor="text1"/>
          <w:kern w:val="2"/>
          <w:szCs w:val="24"/>
        </w:rPr>
        <w:t>计划</w:t>
      </w:r>
      <w:r>
        <w:rPr>
          <w:color w:val="000000" w:themeColor="text1"/>
          <w:kern w:val="2"/>
          <w:szCs w:val="24"/>
        </w:rPr>
        <w:t>的信托受益权无进一步的分割。</w:t>
      </w:r>
      <w:bookmarkStart w:id="78" w:name="OLE_LINK120"/>
      <w:bookmarkStart w:id="79" w:name="OLE_LINK121"/>
      <w:bookmarkEnd w:id="77"/>
      <w:bookmarkEnd w:id="78"/>
      <w:bookmarkEnd w:id="79"/>
    </w:p>
    <w:p w:rsidR="00066166" w:rsidRDefault="00F62BD0">
      <w:pPr>
        <w:pStyle w:val="2"/>
        <w:tabs>
          <w:tab w:val="left" w:pos="720"/>
        </w:tabs>
        <w:spacing w:beforeLines="100" w:before="312" w:afterLines="100" w:after="312" w:line="300" w:lineRule="auto"/>
        <w:ind w:left="720" w:hanging="720"/>
        <w:rPr>
          <w:color w:val="000000" w:themeColor="text1"/>
        </w:rPr>
      </w:pPr>
      <w:bookmarkStart w:id="80" w:name="_Toc241921961"/>
      <w:r>
        <w:rPr>
          <w:rFonts w:ascii="Times New Roman" w:eastAsia="宋体" w:hAnsi="Times New Roman"/>
          <w:color w:val="000000" w:themeColor="text1"/>
          <w:sz w:val="24"/>
          <w:szCs w:val="24"/>
        </w:rPr>
        <w:t>受益人</w:t>
      </w:r>
      <w:bookmarkEnd w:id="80"/>
    </w:p>
    <w:p w:rsidR="00066166" w:rsidRDefault="00F62BD0">
      <w:pPr>
        <w:pStyle w:val="NormalJustified"/>
        <w:widowControl w:val="0"/>
        <w:spacing w:beforeLines="100" w:before="312" w:afterLines="100" w:after="312" w:line="300" w:lineRule="auto"/>
        <w:ind w:left="720"/>
        <w:rPr>
          <w:color w:val="000000" w:themeColor="text1"/>
          <w:szCs w:val="24"/>
        </w:rPr>
      </w:pPr>
      <w:r>
        <w:rPr>
          <w:color w:val="000000" w:themeColor="text1"/>
          <w:kern w:val="2"/>
          <w:szCs w:val="24"/>
        </w:rPr>
        <w:t>信托计划的初始受益人均为委托人</w:t>
      </w:r>
      <w:r>
        <w:rPr>
          <w:rFonts w:hint="eastAsia"/>
          <w:color w:val="000000" w:themeColor="text1"/>
          <w:kern w:val="2"/>
          <w:szCs w:val="24"/>
        </w:rPr>
        <w:t>，信托受益权转让后，受益人为以受让或其他合法方式取得信托受益权的人</w:t>
      </w:r>
      <w:r>
        <w:rPr>
          <w:color w:val="000000" w:themeColor="text1"/>
          <w:kern w:val="2"/>
          <w:szCs w:val="24"/>
        </w:rPr>
        <w:t>。</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81" w:name="_Toc241921962"/>
      <w:bookmarkStart w:id="82" w:name="_Ref336354830"/>
      <w:bookmarkStart w:id="83" w:name="_Ref326864870"/>
      <w:bookmarkStart w:id="84" w:name="_Ref244660889"/>
      <w:r>
        <w:rPr>
          <w:rFonts w:ascii="Times New Roman" w:eastAsia="宋体" w:hAnsi="Times New Roman" w:hint="eastAsia"/>
          <w:color w:val="000000" w:themeColor="text1"/>
          <w:sz w:val="24"/>
          <w:szCs w:val="24"/>
        </w:rPr>
        <w:t>信托单位</w:t>
      </w:r>
      <w:bookmarkEnd w:id="81"/>
      <w:bookmarkEnd w:id="82"/>
      <w:bookmarkEnd w:id="83"/>
      <w:bookmarkEnd w:id="84"/>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kern w:val="2"/>
          <w:szCs w:val="24"/>
        </w:rPr>
        <w:t>信托受益权划分为等额的信托单位，在信托计划成立日，</w:t>
      </w:r>
      <w:r>
        <w:rPr>
          <w:rFonts w:ascii="宋体" w:hAnsi="宋体" w:hint="eastAsia"/>
          <w:bCs/>
          <w:color w:val="000000"/>
        </w:rPr>
        <w:t>全体委托人缴纳的认购资金按照“</w:t>
      </w:r>
      <w:r>
        <w:rPr>
          <w:rFonts w:ascii="宋体" w:hAnsi="宋体" w:hint="eastAsia"/>
          <w:bCs/>
          <w:color w:val="000000"/>
        </w:rPr>
        <w:t>1.00</w:t>
      </w:r>
      <w:r>
        <w:rPr>
          <w:rFonts w:ascii="宋体" w:hAnsi="宋体" w:hint="eastAsia"/>
          <w:bCs/>
          <w:color w:val="000000"/>
        </w:rPr>
        <w:t>元</w:t>
      </w:r>
      <w:r>
        <w:rPr>
          <w:rFonts w:ascii="宋体" w:hAnsi="宋体" w:hint="eastAsia"/>
          <w:bCs/>
          <w:color w:val="000000"/>
        </w:rPr>
        <w:t>/</w:t>
      </w:r>
      <w:r>
        <w:rPr>
          <w:rFonts w:ascii="宋体" w:hAnsi="宋体" w:hint="eastAsia"/>
          <w:bCs/>
          <w:color w:val="000000"/>
        </w:rPr>
        <w:t>份”确认认购份额</w:t>
      </w:r>
      <w:r>
        <w:rPr>
          <w:rFonts w:hint="eastAsia"/>
          <w:color w:val="000000" w:themeColor="text1"/>
        </w:rPr>
        <w:t>；</w:t>
      </w:r>
      <w:r>
        <w:rPr>
          <w:rFonts w:hint="eastAsia"/>
          <w:color w:val="000000" w:themeColor="text1"/>
          <w:kern w:val="2"/>
          <w:szCs w:val="24"/>
        </w:rPr>
        <w:t>信托计划成立日后，</w:t>
      </w:r>
      <w:r>
        <w:rPr>
          <w:rFonts w:hint="eastAsia"/>
          <w:color w:val="000000" w:themeColor="text1"/>
        </w:rPr>
        <w:t>根据信托单位净值确定投资者申购信托单位的份额。</w:t>
      </w:r>
    </w:p>
    <w:p w:rsidR="00066166" w:rsidRDefault="00F62BD0">
      <w:pPr>
        <w:spacing w:beforeLines="50" w:before="156" w:afterLines="100" w:after="312" w:line="360" w:lineRule="auto"/>
        <w:ind w:left="1259"/>
        <w:rPr>
          <w:rFonts w:hAnsi="宋体"/>
          <w:b/>
          <w:color w:val="000000" w:themeColor="text1"/>
          <w:sz w:val="24"/>
        </w:rPr>
      </w:pPr>
      <w:r>
        <w:rPr>
          <w:rFonts w:hAnsi="宋体" w:hint="eastAsia"/>
          <w:b/>
          <w:color w:val="000000" w:themeColor="text1"/>
          <w:sz w:val="24"/>
        </w:rPr>
        <w:t>特别提示：</w:t>
      </w:r>
    </w:p>
    <w:p w:rsidR="00066166" w:rsidRDefault="00F62BD0">
      <w:pPr>
        <w:numPr>
          <w:ilvl w:val="0"/>
          <w:numId w:val="6"/>
        </w:numPr>
        <w:spacing w:beforeLines="50" w:before="156" w:afterLines="100" w:after="312" w:line="360" w:lineRule="auto"/>
        <w:rPr>
          <w:rFonts w:hAnsi="宋体"/>
          <w:b/>
          <w:color w:val="000000" w:themeColor="text1"/>
          <w:sz w:val="24"/>
        </w:rPr>
      </w:pPr>
      <w:r>
        <w:rPr>
          <w:rFonts w:hAnsi="宋体" w:hint="eastAsia"/>
          <w:b/>
          <w:color w:val="000000" w:themeColor="text1"/>
          <w:sz w:val="24"/>
        </w:rPr>
        <w:t>投资有风险，受托人并不保证委托人信托本金不受损失。</w:t>
      </w:r>
    </w:p>
    <w:p w:rsidR="00066166" w:rsidRDefault="00F62BD0">
      <w:pPr>
        <w:numPr>
          <w:ilvl w:val="0"/>
          <w:numId w:val="6"/>
        </w:numPr>
        <w:spacing w:beforeLines="50" w:before="156" w:afterLines="100" w:after="312" w:line="360" w:lineRule="auto"/>
        <w:rPr>
          <w:rFonts w:hAnsi="宋体"/>
          <w:b/>
          <w:color w:val="000000" w:themeColor="text1"/>
          <w:sz w:val="24"/>
        </w:rPr>
      </w:pPr>
      <w:r>
        <w:rPr>
          <w:rFonts w:hAnsi="宋体" w:hint="eastAsia"/>
          <w:b/>
          <w:color w:val="000000" w:themeColor="text1"/>
          <w:sz w:val="24"/>
        </w:rPr>
        <w:t>根据法律及国家税务总局相关规定，自</w:t>
      </w:r>
      <w:r>
        <w:rPr>
          <w:rFonts w:hAnsi="宋体" w:hint="eastAsia"/>
          <w:b/>
          <w:color w:val="000000" w:themeColor="text1"/>
          <w:sz w:val="24"/>
        </w:rPr>
        <w:t>2018</w:t>
      </w:r>
      <w:r>
        <w:rPr>
          <w:rFonts w:hAnsi="宋体" w:hint="eastAsia"/>
          <w:b/>
          <w:color w:val="000000" w:themeColor="text1"/>
          <w:sz w:val="24"/>
        </w:rPr>
        <w:t>年</w:t>
      </w:r>
      <w:r>
        <w:rPr>
          <w:rFonts w:hAnsi="宋体" w:hint="eastAsia"/>
          <w:b/>
          <w:color w:val="000000" w:themeColor="text1"/>
          <w:sz w:val="24"/>
        </w:rPr>
        <w:t>1</w:t>
      </w:r>
      <w:r>
        <w:rPr>
          <w:rFonts w:hAnsi="宋体" w:hint="eastAsia"/>
          <w:b/>
          <w:color w:val="000000" w:themeColor="text1"/>
          <w:sz w:val="24"/>
        </w:rPr>
        <w:t>月</w:t>
      </w:r>
      <w:r>
        <w:rPr>
          <w:rFonts w:hAnsi="宋体" w:hint="eastAsia"/>
          <w:b/>
          <w:color w:val="000000" w:themeColor="text1"/>
          <w:sz w:val="24"/>
        </w:rPr>
        <w:t>1</w:t>
      </w:r>
      <w:r>
        <w:rPr>
          <w:rFonts w:hAnsi="宋体" w:hint="eastAsia"/>
          <w:b/>
          <w:color w:val="000000" w:themeColor="text1"/>
          <w:sz w:val="24"/>
        </w:rPr>
        <w:t>日起，受托人按照信托合同约定的方式管理运用信托资金，需缴纳增值税。不排除包含增值税等税收政策变化的影响，若信托计划运行期间受托人根据法律及国家税务总局相关规定需另行缴纳包括增值税在内的税收的，该等税收由信托财产承担。</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85" w:name="_Toc241925858"/>
      <w:bookmarkEnd w:id="85"/>
      <w:r>
        <w:rPr>
          <w:rFonts w:ascii="Times New Roman" w:eastAsia="宋体" w:hAnsi="Times New Roman"/>
          <w:color w:val="000000" w:themeColor="text1"/>
          <w:sz w:val="24"/>
          <w:szCs w:val="24"/>
        </w:rPr>
        <w:t>信托受益权的转让</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bookmarkStart w:id="86" w:name="_Hlk24027623"/>
      <w:r>
        <w:rPr>
          <w:color w:val="000000" w:themeColor="text1"/>
          <w:kern w:val="2"/>
          <w:szCs w:val="24"/>
        </w:rPr>
        <w:t xml:space="preserve"> </w:t>
      </w:r>
      <w:bookmarkStart w:id="87" w:name="_Hlk75981343"/>
      <w:r>
        <w:rPr>
          <w:rFonts w:hint="eastAsia"/>
          <w:color w:val="000000" w:themeColor="text1"/>
          <w:kern w:val="2"/>
          <w:szCs w:val="24"/>
        </w:rPr>
        <w:t>信托受益权在信托计划存续期限内经受托人同意后方可转让，</w:t>
      </w:r>
      <w:r>
        <w:rPr>
          <w:rFonts w:hint="eastAsia"/>
          <w:b/>
          <w:bCs/>
          <w:color w:val="000000" w:themeColor="text1"/>
          <w:kern w:val="2"/>
          <w:szCs w:val="24"/>
        </w:rPr>
        <w:t>受益人转让信托受益权时应向受托人缴纳的登记费用为拟转让信托受益权份数</w:t>
      </w:r>
      <w:r>
        <w:rPr>
          <w:rFonts w:ascii="宋体" w:hAnsi="宋体" w:hint="eastAsia"/>
          <w:b/>
          <w:bCs/>
          <w:color w:val="000000" w:themeColor="text1"/>
          <w:kern w:val="2"/>
          <w:szCs w:val="24"/>
        </w:rPr>
        <w:t>×</w:t>
      </w:r>
      <w:r>
        <w:rPr>
          <w:b/>
          <w:bCs/>
          <w:color w:val="000000" w:themeColor="text1"/>
          <w:kern w:val="2"/>
          <w:szCs w:val="24"/>
        </w:rPr>
        <w:t>1</w:t>
      </w:r>
      <w:r>
        <w:rPr>
          <w:rFonts w:hint="eastAsia"/>
          <w:b/>
          <w:bCs/>
          <w:color w:val="000000" w:themeColor="text1"/>
          <w:kern w:val="2"/>
          <w:szCs w:val="24"/>
        </w:rPr>
        <w:t>元</w:t>
      </w:r>
      <w:r>
        <w:rPr>
          <w:b/>
          <w:bCs/>
          <w:color w:val="000000" w:themeColor="text1"/>
          <w:kern w:val="2"/>
          <w:szCs w:val="24"/>
        </w:rPr>
        <w:t>/</w:t>
      </w:r>
      <w:r>
        <w:rPr>
          <w:rFonts w:hint="eastAsia"/>
          <w:b/>
          <w:bCs/>
          <w:color w:val="000000" w:themeColor="text1"/>
          <w:kern w:val="2"/>
          <w:szCs w:val="24"/>
        </w:rPr>
        <w:t>份</w:t>
      </w:r>
      <w:r>
        <w:rPr>
          <w:rFonts w:ascii="宋体" w:hAnsi="宋体" w:hint="eastAsia"/>
          <w:b/>
          <w:bCs/>
          <w:color w:val="000000" w:themeColor="text1"/>
          <w:kern w:val="2"/>
          <w:szCs w:val="24"/>
        </w:rPr>
        <w:t>×</w:t>
      </w:r>
      <w:r>
        <w:rPr>
          <w:rFonts w:hint="eastAsia"/>
          <w:b/>
          <w:bCs/>
          <w:color w:val="000000" w:themeColor="text1"/>
          <w:kern w:val="2"/>
          <w:szCs w:val="24"/>
        </w:rPr>
        <w:t>【</w:t>
      </w:r>
      <w:r>
        <w:rPr>
          <w:b/>
          <w:bCs/>
          <w:color w:val="000000" w:themeColor="text1"/>
          <w:kern w:val="2"/>
          <w:szCs w:val="24"/>
        </w:rPr>
        <w:t>0.5</w:t>
      </w:r>
      <w:r>
        <w:rPr>
          <w:rFonts w:hint="eastAsia"/>
          <w:b/>
          <w:bCs/>
          <w:color w:val="000000" w:themeColor="text1"/>
          <w:kern w:val="2"/>
          <w:szCs w:val="24"/>
        </w:rPr>
        <w:t>】</w:t>
      </w:r>
      <w:r>
        <w:rPr>
          <w:b/>
          <w:bCs/>
          <w:color w:val="000000" w:themeColor="text1"/>
          <w:kern w:val="2"/>
          <w:szCs w:val="24"/>
        </w:rPr>
        <w:t>%</w:t>
      </w:r>
      <w:bookmarkStart w:id="88" w:name="OLE_LINK4"/>
      <w:bookmarkStart w:id="89" w:name="OLE_LINK3"/>
      <w:r>
        <w:rPr>
          <w:rFonts w:hint="eastAsia"/>
          <w:b/>
          <w:bCs/>
          <w:color w:val="000000" w:themeColor="text1"/>
          <w:kern w:val="2"/>
          <w:szCs w:val="24"/>
        </w:rPr>
        <w:t>。</w:t>
      </w:r>
      <w:bookmarkEnd w:id="88"/>
      <w:bookmarkEnd w:id="89"/>
      <w:r>
        <w:rPr>
          <w:rFonts w:hint="eastAsia"/>
          <w:b/>
          <w:bCs/>
          <w:color w:val="000000" w:themeColor="text1"/>
          <w:kern w:val="2"/>
          <w:szCs w:val="24"/>
        </w:rPr>
        <w:t>未经受托人同意，受益人不得转让信托受益权。</w:t>
      </w:r>
      <w:bookmarkEnd w:id="86"/>
      <w:bookmarkEnd w:id="87"/>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lastRenderedPageBreak/>
        <w:t xml:space="preserve"> </w:t>
      </w:r>
      <w:r>
        <w:rPr>
          <w:rFonts w:hint="eastAsia"/>
          <w:color w:val="000000" w:themeColor="text1"/>
          <w:kern w:val="2"/>
          <w:szCs w:val="24"/>
        </w:rPr>
        <w:t>受益人仅可以向《关于规范金融机构资产管理业务的指导意见》及《信托公司集合资金信托计划管理办法》所规定的合格投资者转让其持有的信托受益权。受益人转让前应根据受托人要求向受托人提供受让人的资质证明，且受让人应接受受托人的风险承受能力测试。受益人将其所持有的信托受益权进行拆分转让的，受让人不得为自然人。机构所持有的信托受益权，不得向自然人转让或拆分转让。转让后导致信托计划违反多层嵌套</w:t>
      </w:r>
      <w:r>
        <w:rPr>
          <w:rFonts w:hint="eastAsia"/>
        </w:rPr>
        <w:t>或其他相关法律法规或监管</w:t>
      </w:r>
      <w:r>
        <w:rPr>
          <w:rFonts w:hint="eastAsia"/>
          <w:color w:val="000000" w:themeColor="text1"/>
          <w:kern w:val="2"/>
          <w:szCs w:val="24"/>
        </w:rPr>
        <w:t>规定的，受托人有权不予办理转让。</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在发生继承、自愿离婚、分家析产、国有资产无偿划转、机构合并或分立、机构清</w:t>
      </w:r>
      <w:r>
        <w:rPr>
          <w:rFonts w:hint="eastAsia"/>
          <w:color w:val="000000" w:themeColor="text1"/>
          <w:kern w:val="2"/>
          <w:szCs w:val="24"/>
        </w:rPr>
        <w:t>算、企业破产清算、司法执行等情况时，受托人根据法律规定或国家权力机关要求办理非交易过户。</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委托人</w:t>
      </w:r>
      <w:r>
        <w:rPr>
          <w:rFonts w:hint="eastAsia"/>
          <w:color w:val="000000" w:themeColor="text1"/>
          <w:kern w:val="2"/>
          <w:szCs w:val="24"/>
        </w:rPr>
        <w:t>/</w:t>
      </w:r>
      <w:r>
        <w:rPr>
          <w:rFonts w:hint="eastAsia"/>
          <w:color w:val="000000" w:themeColor="text1"/>
          <w:kern w:val="2"/>
          <w:szCs w:val="24"/>
        </w:rPr>
        <w:t>受益人全部或部分转让其享有的信托受益权的，则相应的委托人</w:t>
      </w:r>
      <w:r>
        <w:rPr>
          <w:rFonts w:hint="eastAsia"/>
          <w:color w:val="000000" w:themeColor="text1"/>
          <w:kern w:val="2"/>
          <w:szCs w:val="24"/>
        </w:rPr>
        <w:t>/</w:t>
      </w:r>
      <w:r>
        <w:rPr>
          <w:rFonts w:hint="eastAsia"/>
          <w:color w:val="000000" w:themeColor="text1"/>
          <w:kern w:val="2"/>
          <w:szCs w:val="24"/>
        </w:rPr>
        <w:t>受益人权利义务应一并让与，但因委托人</w:t>
      </w:r>
      <w:r>
        <w:rPr>
          <w:rFonts w:hint="eastAsia"/>
          <w:color w:val="000000" w:themeColor="text1"/>
          <w:kern w:val="2"/>
          <w:szCs w:val="24"/>
        </w:rPr>
        <w:t>/</w:t>
      </w:r>
      <w:r>
        <w:rPr>
          <w:rFonts w:hint="eastAsia"/>
          <w:color w:val="000000" w:themeColor="text1"/>
          <w:kern w:val="2"/>
          <w:szCs w:val="24"/>
        </w:rPr>
        <w:t>受益人因履行法律法规规定和本合同约定的权利义务而产生的附随义务除外。</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kern w:val="2"/>
        </w:rPr>
        <w:t xml:space="preserve"> </w:t>
      </w:r>
      <w:r>
        <w:rPr>
          <w:rFonts w:hint="eastAsia"/>
          <w:kern w:val="2"/>
        </w:rPr>
        <w:t>受益人转让信托受益权的应在受托人处</w:t>
      </w:r>
      <w:r>
        <w:rPr>
          <w:rFonts w:hint="eastAsia"/>
          <w:kern w:val="2"/>
          <w:szCs w:val="24"/>
        </w:rPr>
        <w:t>及</w:t>
      </w:r>
      <w:r>
        <w:rPr>
          <w:rFonts w:hint="eastAsia"/>
          <w:kern w:val="2"/>
          <w:szCs w:val="24"/>
        </w:rPr>
        <w:t>/</w:t>
      </w:r>
      <w:r>
        <w:rPr>
          <w:rFonts w:hint="eastAsia"/>
          <w:kern w:val="2"/>
        </w:rPr>
        <w:t>或通过受托人认可的方式进行登记，否则其信托受益权转让不对受托人产生效力</w:t>
      </w:r>
      <w:r>
        <w:rPr>
          <w:rFonts w:hint="eastAsia"/>
          <w:kern w:val="2"/>
          <w:szCs w:val="24"/>
        </w:rPr>
        <w:t>。未到受托人处及</w:t>
      </w:r>
      <w:r>
        <w:rPr>
          <w:rFonts w:hint="eastAsia"/>
          <w:kern w:val="2"/>
          <w:szCs w:val="24"/>
        </w:rPr>
        <w:t>/</w:t>
      </w:r>
      <w:r>
        <w:rPr>
          <w:rFonts w:hint="eastAsia"/>
          <w:kern w:val="2"/>
          <w:szCs w:val="24"/>
        </w:rPr>
        <w:t>或通过受托人认可的方式办理信托受益权转让登记手续的</w:t>
      </w:r>
      <w:r>
        <w:rPr>
          <w:rFonts w:hint="eastAsia"/>
          <w:kern w:val="2"/>
        </w:rPr>
        <w:t>，不得对抗受托人，受托人仍按《信托合同》的约定进行信托利益的分配</w:t>
      </w:r>
      <w:r>
        <w:rPr>
          <w:rFonts w:hint="eastAsia"/>
          <w:color w:val="000000" w:themeColor="text1"/>
          <w:kern w:val="2"/>
          <w:szCs w:val="24"/>
        </w:rPr>
        <w:t>。</w:t>
      </w:r>
    </w:p>
    <w:p w:rsidR="00066166" w:rsidRDefault="00066166">
      <w:pPr>
        <w:pStyle w:val="NormalJustified"/>
        <w:widowControl w:val="0"/>
        <w:tabs>
          <w:tab w:val="left" w:pos="851"/>
        </w:tabs>
        <w:spacing w:beforeLines="100" w:before="312" w:afterLines="100" w:after="312" w:line="300" w:lineRule="auto"/>
        <w:ind w:left="720"/>
        <w:rPr>
          <w:color w:val="000000" w:themeColor="text1"/>
          <w:kern w:val="2"/>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rPr>
      </w:pPr>
      <w:bookmarkStart w:id="90" w:name="_Toc164487818"/>
      <w:bookmarkStart w:id="91" w:name="_Toc91143606"/>
      <w:r>
        <w:rPr>
          <w:rFonts w:hint="eastAsia"/>
          <w:color w:val="000000" w:themeColor="text1"/>
          <w:sz w:val="24"/>
        </w:rPr>
        <w:t>信托单位的认购</w:t>
      </w:r>
      <w:bookmarkEnd w:id="90"/>
      <w:r>
        <w:rPr>
          <w:rFonts w:hint="eastAsia"/>
          <w:color w:val="000000" w:themeColor="text1"/>
          <w:sz w:val="24"/>
        </w:rPr>
        <w:t>（申购）</w:t>
      </w:r>
      <w:bookmarkEnd w:id="91"/>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92" w:name="_Toc164487819"/>
      <w:r>
        <w:rPr>
          <w:rFonts w:ascii="Times New Roman" w:eastAsia="宋体" w:hAnsi="Times New Roman"/>
          <w:color w:val="000000" w:themeColor="text1"/>
          <w:sz w:val="24"/>
          <w:szCs w:val="24"/>
        </w:rPr>
        <w:t>认购</w:t>
      </w:r>
      <w:r>
        <w:rPr>
          <w:rFonts w:ascii="Times New Roman" w:eastAsia="宋体" w:hAnsi="Times New Roman" w:hint="eastAsia"/>
          <w:color w:val="000000" w:themeColor="text1"/>
          <w:sz w:val="24"/>
          <w:szCs w:val="24"/>
        </w:rPr>
        <w:t>（申购）条件</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认购（申购）资格</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szCs w:val="24"/>
        </w:rPr>
      </w:pPr>
      <w:r>
        <w:rPr>
          <w:rFonts w:hint="eastAsia"/>
          <w:color w:val="000000" w:themeColor="text1"/>
          <w:kern w:val="2"/>
          <w:szCs w:val="24"/>
        </w:rPr>
        <w:t>委托人承诺，其满足</w:t>
      </w:r>
      <w:r>
        <w:rPr>
          <w:color w:val="000000" w:themeColor="text1"/>
          <w:kern w:val="2"/>
          <w:szCs w:val="24"/>
        </w:rPr>
        <w:t>《</w:t>
      </w:r>
      <w:r>
        <w:rPr>
          <w:rFonts w:hint="eastAsia"/>
          <w:color w:val="000000" w:themeColor="text1"/>
          <w:kern w:val="2"/>
          <w:szCs w:val="24"/>
        </w:rPr>
        <w:t>关于规范金融机构资产管理业务的指导意见</w:t>
      </w:r>
      <w:r>
        <w:rPr>
          <w:color w:val="000000" w:themeColor="text1"/>
          <w:kern w:val="2"/>
          <w:szCs w:val="24"/>
        </w:rPr>
        <w:t>》</w:t>
      </w:r>
      <w:r>
        <w:rPr>
          <w:rFonts w:hint="eastAsia"/>
          <w:color w:val="000000" w:themeColor="text1"/>
          <w:kern w:val="2"/>
          <w:szCs w:val="24"/>
        </w:rPr>
        <w:t>及《信托公司集合资金信托计划管理办法》</w:t>
      </w:r>
      <w:r>
        <w:rPr>
          <w:color w:val="000000" w:themeColor="text1"/>
          <w:kern w:val="2"/>
          <w:szCs w:val="24"/>
        </w:rPr>
        <w:t>所规定的合格投资者</w:t>
      </w:r>
      <w:r>
        <w:rPr>
          <w:rFonts w:hint="eastAsia"/>
          <w:color w:val="000000" w:themeColor="text1"/>
          <w:kern w:val="2"/>
          <w:szCs w:val="24"/>
        </w:rPr>
        <w:t>要求，具备相应风险识别能力和风险承担能力</w:t>
      </w:r>
      <w:r>
        <w:rPr>
          <w:rFonts w:hAnsi="宋体" w:hint="eastAsia"/>
          <w:color w:val="000000" w:themeColor="text1"/>
        </w:rPr>
        <w:t>。</w:t>
      </w:r>
      <w:r>
        <w:rPr>
          <w:rFonts w:hAnsi="宋体" w:hint="eastAsia"/>
          <w:color w:val="000000" w:themeColor="text1"/>
          <w:szCs w:val="24"/>
        </w:rPr>
        <w:t>如法律法规或监管机构自本合同生效以后另有规定则从之执行。</w:t>
      </w:r>
    </w:p>
    <w:p w:rsidR="00066166" w:rsidRDefault="00F62BD0">
      <w:pPr>
        <w:pStyle w:val="NormalJustified"/>
        <w:widowControl w:val="0"/>
        <w:numPr>
          <w:ilvl w:val="2"/>
          <w:numId w:val="1"/>
        </w:numPr>
        <w:tabs>
          <w:tab w:val="left" w:pos="720"/>
          <w:tab w:val="left" w:pos="851"/>
          <w:tab w:val="left" w:pos="2552"/>
        </w:tabs>
        <w:spacing w:beforeLines="100" w:before="312" w:afterLines="100" w:after="312" w:line="300" w:lineRule="auto"/>
        <w:ind w:left="720" w:hanging="720"/>
        <w:rPr>
          <w:rFonts w:hAnsi="宋体"/>
          <w:color w:val="000000" w:themeColor="text1"/>
        </w:rPr>
      </w:pPr>
      <w:r>
        <w:rPr>
          <w:rFonts w:hAnsi="宋体" w:hint="eastAsia"/>
          <w:color w:val="000000" w:themeColor="text1"/>
        </w:rPr>
        <w:t>最低认购（申购）资金金额</w:t>
      </w:r>
    </w:p>
    <w:p w:rsidR="00066166" w:rsidRDefault="00F62BD0">
      <w:pPr>
        <w:pStyle w:val="NormalJustified"/>
        <w:widowControl w:val="0"/>
        <w:numPr>
          <w:ilvl w:val="0"/>
          <w:numId w:val="7"/>
        </w:numPr>
        <w:spacing w:beforeLines="100" w:before="312" w:afterLines="100" w:after="312" w:line="300" w:lineRule="auto"/>
        <w:rPr>
          <w:color w:val="000000" w:themeColor="text1"/>
        </w:rPr>
      </w:pPr>
      <w:bookmarkStart w:id="93" w:name="_Hlk91093550"/>
      <w:r>
        <w:rPr>
          <w:rFonts w:hAnsi="宋体" w:hint="eastAsia"/>
          <w:color w:val="000000" w:themeColor="text1"/>
        </w:rPr>
        <w:t>无论投资者认购（申购）前是否持有本信托计划的信托单位，</w:t>
      </w:r>
      <w:bookmarkEnd w:id="93"/>
      <w:r>
        <w:rPr>
          <w:rFonts w:hAnsi="宋体"/>
          <w:color w:val="000000" w:themeColor="text1"/>
        </w:rPr>
        <w:t>每一委托人</w:t>
      </w:r>
      <w:bookmarkStart w:id="94" w:name="_Hlk91093595"/>
      <w:r>
        <w:rPr>
          <w:rFonts w:hAnsi="宋体" w:hint="eastAsia"/>
          <w:color w:val="000000" w:themeColor="text1"/>
        </w:rPr>
        <w:t>每次认购（申购）</w:t>
      </w:r>
      <w:r>
        <w:rPr>
          <w:rFonts w:hAnsi="宋体"/>
          <w:color w:val="000000" w:themeColor="text1"/>
        </w:rPr>
        <w:t>资金</w:t>
      </w:r>
      <w:r>
        <w:rPr>
          <w:rFonts w:hAnsi="宋体" w:hint="eastAsia"/>
          <w:color w:val="000000" w:themeColor="text1"/>
        </w:rPr>
        <w:t>金额均</w:t>
      </w:r>
      <w:bookmarkEnd w:id="94"/>
      <w:r>
        <w:rPr>
          <w:rFonts w:hAnsi="宋体"/>
          <w:color w:val="000000" w:themeColor="text1"/>
        </w:rPr>
        <w:t>不得低于</w:t>
      </w:r>
      <w:r>
        <w:rPr>
          <w:rFonts w:hAnsi="宋体" w:hint="eastAsia"/>
          <w:color w:val="000000" w:themeColor="text1"/>
        </w:rPr>
        <w:t>【</w:t>
      </w:r>
      <w:r>
        <w:rPr>
          <w:rFonts w:hAnsi="宋体"/>
          <w:color w:val="000000" w:themeColor="text1"/>
        </w:rPr>
        <w:t>30</w:t>
      </w:r>
      <w:r>
        <w:rPr>
          <w:rFonts w:hAnsi="宋体" w:hint="eastAsia"/>
          <w:color w:val="000000" w:themeColor="text1"/>
        </w:rPr>
        <w:t>】</w:t>
      </w:r>
      <w:r>
        <w:rPr>
          <w:rFonts w:hAnsi="宋体"/>
          <w:color w:val="000000" w:themeColor="text1"/>
        </w:rPr>
        <w:t>万元，超过部分按</w:t>
      </w:r>
      <w:r>
        <w:rPr>
          <w:rFonts w:hAnsi="宋体" w:hint="eastAsia"/>
          <w:color w:val="000000" w:themeColor="text1"/>
        </w:rPr>
        <w:lastRenderedPageBreak/>
        <w:t>【</w:t>
      </w:r>
      <w:r>
        <w:rPr>
          <w:rFonts w:hAnsi="宋体"/>
          <w:color w:val="000000" w:themeColor="text1"/>
        </w:rPr>
        <w:t>1</w:t>
      </w:r>
      <w:r>
        <w:rPr>
          <w:rFonts w:hAnsi="宋体" w:hint="eastAsia"/>
          <w:color w:val="000000" w:themeColor="text1"/>
        </w:rPr>
        <w:t>】</w:t>
      </w:r>
      <w:r>
        <w:rPr>
          <w:rFonts w:hAnsi="宋体"/>
          <w:color w:val="000000" w:themeColor="text1"/>
        </w:rPr>
        <w:t>万元的整数倍</w:t>
      </w:r>
      <w:r>
        <w:rPr>
          <w:rFonts w:hAnsi="宋体" w:hint="eastAsia"/>
          <w:color w:val="000000" w:themeColor="text1"/>
        </w:rPr>
        <w:t>递增</w:t>
      </w:r>
      <w:r>
        <w:rPr>
          <w:rFonts w:hAnsi="宋体"/>
          <w:color w:val="000000" w:themeColor="text1"/>
        </w:rPr>
        <w:t>。</w:t>
      </w:r>
    </w:p>
    <w:p w:rsidR="00066166" w:rsidRDefault="00F62BD0">
      <w:pPr>
        <w:pStyle w:val="NormalJustified"/>
        <w:widowControl w:val="0"/>
        <w:numPr>
          <w:ilvl w:val="0"/>
          <w:numId w:val="7"/>
        </w:numPr>
        <w:spacing w:beforeLines="100" w:before="312" w:afterLines="100" w:after="312" w:line="300" w:lineRule="auto"/>
        <w:rPr>
          <w:rFonts w:hAnsi="宋体"/>
          <w:color w:val="000000" w:themeColor="text1"/>
        </w:rPr>
      </w:pPr>
      <w:bookmarkStart w:id="95" w:name="_Hlk22739844"/>
      <w:r>
        <w:rPr>
          <w:rFonts w:hAnsi="宋体" w:hint="eastAsia"/>
          <w:color w:val="000000" w:themeColor="text1"/>
        </w:rPr>
        <w:t>信托计划存续期内，受托人有权根据</w:t>
      </w:r>
      <w:r>
        <w:rPr>
          <w:rFonts w:hint="eastAsia"/>
          <w:color w:val="000000" w:themeColor="text1"/>
          <w:kern w:val="2"/>
          <w:szCs w:val="24"/>
        </w:rPr>
        <w:t>监管政策及信托财产管理、运用实际情况调整</w:t>
      </w:r>
      <w:r>
        <w:rPr>
          <w:rFonts w:hAnsi="宋体" w:hint="eastAsia"/>
          <w:color w:val="000000" w:themeColor="text1"/>
        </w:rPr>
        <w:t>最低认购（申购）资金金额的标准。</w:t>
      </w:r>
      <w:bookmarkEnd w:id="95"/>
    </w:p>
    <w:p w:rsidR="00066166" w:rsidRDefault="00F62BD0">
      <w:pPr>
        <w:pStyle w:val="NormalJustified"/>
        <w:widowControl w:val="0"/>
        <w:numPr>
          <w:ilvl w:val="0"/>
          <w:numId w:val="7"/>
        </w:numPr>
        <w:spacing w:beforeLines="100" w:before="312" w:afterLines="100" w:after="312" w:line="300" w:lineRule="auto"/>
        <w:rPr>
          <w:rFonts w:hAnsi="宋体"/>
          <w:color w:val="000000" w:themeColor="text1"/>
        </w:rPr>
      </w:pPr>
      <w:r>
        <w:rPr>
          <w:rFonts w:hint="eastAsia"/>
          <w:color w:val="000000"/>
        </w:rPr>
        <w:t>每个开放日受托人有权根据实际运行情况，不接受该开放日委托人的申购申请。</w:t>
      </w:r>
    </w:p>
    <w:p w:rsidR="00066166" w:rsidRDefault="00F62BD0">
      <w:pPr>
        <w:pStyle w:val="NormalJustified"/>
        <w:widowControl w:val="0"/>
        <w:tabs>
          <w:tab w:val="left" w:pos="2552"/>
        </w:tabs>
        <w:spacing w:beforeLines="100" w:before="312" w:afterLines="100" w:after="312" w:line="300" w:lineRule="auto"/>
        <w:ind w:left="720"/>
        <w:rPr>
          <w:color w:val="000000" w:themeColor="text1"/>
          <w:kern w:val="2"/>
          <w:szCs w:val="24"/>
        </w:rPr>
      </w:pPr>
      <w:r>
        <w:rPr>
          <w:rFonts w:hint="eastAsia"/>
          <w:color w:val="000000" w:themeColor="text1"/>
          <w:kern w:val="2"/>
          <w:szCs w:val="24"/>
        </w:rPr>
        <w:t>为避免歧义，投资者成功赎回所持本信托计划的全部信托单位之日（以受托人确认的时间为准）后再次申请申购本信托计划信托单位的，按照</w:t>
      </w:r>
      <w:r>
        <w:rPr>
          <w:rFonts w:hAnsi="宋体"/>
          <w:color w:val="000000" w:themeColor="text1"/>
        </w:rPr>
        <w:t>申购前不持有本信托计划信托单位</w:t>
      </w:r>
      <w:r>
        <w:rPr>
          <w:rFonts w:hint="eastAsia"/>
          <w:color w:val="000000" w:themeColor="text1"/>
          <w:kern w:val="2"/>
          <w:szCs w:val="24"/>
        </w:rPr>
        <w:t>处理，下同。</w:t>
      </w:r>
    </w:p>
    <w:p w:rsidR="00066166" w:rsidRDefault="00F62BD0">
      <w:pPr>
        <w:pStyle w:val="NormalJustified"/>
        <w:widowControl w:val="0"/>
        <w:numPr>
          <w:ilvl w:val="2"/>
          <w:numId w:val="1"/>
        </w:numPr>
        <w:tabs>
          <w:tab w:val="left" w:pos="720"/>
          <w:tab w:val="left" w:pos="851"/>
          <w:tab w:val="left" w:pos="2552"/>
        </w:tabs>
        <w:spacing w:beforeLines="100" w:before="312" w:afterLines="100" w:after="312" w:line="300" w:lineRule="auto"/>
        <w:ind w:left="720" w:hanging="720"/>
        <w:rPr>
          <w:rFonts w:hAnsi="宋体"/>
          <w:color w:val="000000" w:themeColor="text1"/>
        </w:rPr>
      </w:pPr>
      <w:r>
        <w:rPr>
          <w:rFonts w:hAnsi="宋体" w:hint="eastAsia"/>
          <w:color w:val="000000" w:themeColor="text1"/>
        </w:rPr>
        <w:t>委托人数量限制及超额认购（申购）的处理原则</w:t>
      </w:r>
    </w:p>
    <w:p w:rsidR="00066166" w:rsidRDefault="00F62BD0">
      <w:pPr>
        <w:pStyle w:val="NormalJustified"/>
        <w:widowControl w:val="0"/>
        <w:tabs>
          <w:tab w:val="left" w:pos="2552"/>
        </w:tabs>
        <w:spacing w:beforeLines="100" w:before="312" w:afterLines="100" w:after="312" w:line="300" w:lineRule="auto"/>
        <w:ind w:left="720"/>
        <w:rPr>
          <w:color w:val="000000" w:themeColor="text1"/>
          <w:kern w:val="2"/>
          <w:szCs w:val="24"/>
        </w:rPr>
      </w:pPr>
      <w:r>
        <w:rPr>
          <w:rFonts w:hint="eastAsia"/>
          <w:color w:val="000000" w:themeColor="text1"/>
          <w:kern w:val="2"/>
          <w:szCs w:val="24"/>
        </w:rPr>
        <w:t>除非法律法规另有规定，本信托计划委托人数量必须符合《关于规范金融机构资产管理业务的指导意见》及《信托公司集合资金信托计划管理办法》所要求的数量限制，如法律法规或监管机构自本合同生效以后另有规定则从之执行。</w:t>
      </w:r>
    </w:p>
    <w:p w:rsidR="00066166" w:rsidRDefault="00F62BD0">
      <w:pPr>
        <w:pStyle w:val="NormalJustified"/>
        <w:widowControl w:val="0"/>
        <w:tabs>
          <w:tab w:val="left" w:pos="720"/>
          <w:tab w:val="left" w:pos="851"/>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除非法律法规另有规定，本信托计划的投资者人数若超过上限，受托人将本着“时间优先、金额优先”的原则接受认购（申购）申请，并视认购（申购）的具体情况，保留拒绝投资者认购（申购）申请的权利。“时间优先，金额优先”的原则是指：投资者认购（申购）信托单位时，按照信托资金到账时间优先的原则认购（申购），即交付的信托资</w:t>
      </w:r>
      <w:r>
        <w:rPr>
          <w:rFonts w:hAnsi="宋体" w:hint="eastAsia"/>
          <w:color w:val="000000" w:themeColor="text1"/>
        </w:rPr>
        <w:t>金先到账的投资者优先获得认购（申购）；在到账时间相同的情况下，交付的信托资金金额大的投资者优先获得认购（申购）。</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认购（申购）程序</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96" w:name="_Ref41257422"/>
      <w:r>
        <w:rPr>
          <w:rFonts w:hint="eastAsia"/>
          <w:color w:val="000000" w:themeColor="text1"/>
          <w:kern w:val="2"/>
          <w:szCs w:val="24"/>
        </w:rPr>
        <w:t>认购（申购）</w:t>
      </w:r>
      <w:bookmarkEnd w:id="96"/>
      <w:r>
        <w:rPr>
          <w:rFonts w:hint="eastAsia"/>
          <w:color w:val="000000" w:themeColor="text1"/>
          <w:kern w:val="2"/>
          <w:szCs w:val="24"/>
        </w:rPr>
        <w:t>文件提交</w:t>
      </w:r>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投资者认购信托单位的，应于</w:t>
      </w:r>
      <w:r>
        <w:rPr>
          <w:rFonts w:hAnsi="宋体" w:hint="eastAsia"/>
          <w:color w:val="000000"/>
        </w:rPr>
        <w:t>推介期届满日</w:t>
      </w:r>
      <w:r>
        <w:rPr>
          <w:rFonts w:hAnsi="宋体"/>
          <w:color w:val="000000"/>
        </w:rPr>
        <w:t>1</w:t>
      </w:r>
      <w:r>
        <w:rPr>
          <w:rFonts w:hAnsi="宋体"/>
          <w:color w:val="000000" w:themeColor="text1"/>
        </w:rPr>
        <w:t>5:00</w:t>
      </w:r>
      <w:r>
        <w:rPr>
          <w:rFonts w:hAnsi="宋体" w:hint="eastAsia"/>
          <w:color w:val="000000" w:themeColor="text1"/>
        </w:rPr>
        <w:t>前向受托人（或代销机构）提交认购文件。</w:t>
      </w:r>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投资者</w:t>
      </w:r>
      <w:r>
        <w:rPr>
          <w:rFonts w:hAnsi="宋体" w:hint="eastAsia"/>
          <w:color w:val="000000" w:themeColor="text1"/>
          <w:lang w:eastAsia="zh-Hans"/>
        </w:rPr>
        <w:t>在固定开放日</w:t>
      </w:r>
      <w:r>
        <w:rPr>
          <w:rFonts w:hAnsi="宋体" w:hint="eastAsia"/>
          <w:color w:val="000000" w:themeColor="text1"/>
        </w:rPr>
        <w:t>申购信托单位的，应于当个</w:t>
      </w:r>
      <w:r>
        <w:rPr>
          <w:rFonts w:hAnsi="宋体" w:hint="eastAsia"/>
          <w:color w:val="000000" w:themeColor="text1"/>
          <w:lang w:eastAsia="zh-Hans"/>
        </w:rPr>
        <w:t>固定</w:t>
      </w:r>
      <w:r>
        <w:rPr>
          <w:rFonts w:hAnsi="宋体"/>
          <w:color w:val="000000" w:themeColor="text1"/>
        </w:rPr>
        <w:t>开放日（</w:t>
      </w:r>
      <w:r>
        <w:rPr>
          <w:rFonts w:hAnsi="宋体"/>
          <w:color w:val="000000" w:themeColor="text1"/>
        </w:rPr>
        <w:t>T</w:t>
      </w:r>
      <w:r>
        <w:rPr>
          <w:rFonts w:hAnsi="宋体"/>
          <w:color w:val="000000" w:themeColor="text1"/>
        </w:rPr>
        <w:t>日）</w:t>
      </w:r>
      <w:r>
        <w:rPr>
          <w:rFonts w:hAnsi="宋体" w:hint="eastAsia"/>
          <w:color w:val="000000" w:themeColor="text1"/>
        </w:rPr>
        <w:t>前</w:t>
      </w:r>
      <w:r>
        <w:rPr>
          <w:rFonts w:hAnsi="宋体"/>
          <w:color w:val="000000" w:themeColor="text1"/>
        </w:rPr>
        <w:t>10</w:t>
      </w:r>
      <w:r>
        <w:rPr>
          <w:rFonts w:hAnsi="宋体" w:hint="eastAsia"/>
          <w:color w:val="000000" w:themeColor="text1"/>
        </w:rPr>
        <w:t>个交易日（</w:t>
      </w:r>
      <w:r>
        <w:rPr>
          <w:rFonts w:hAnsi="宋体" w:hint="eastAsia"/>
          <w:color w:val="000000" w:themeColor="text1"/>
        </w:rPr>
        <w:t>T</w:t>
      </w:r>
      <w:r>
        <w:rPr>
          <w:rFonts w:hAnsi="宋体"/>
          <w:color w:val="000000" w:themeColor="text1"/>
        </w:rPr>
        <w:t>-10</w:t>
      </w:r>
      <w:r>
        <w:rPr>
          <w:rFonts w:hAnsi="宋体" w:hint="eastAsia"/>
          <w:color w:val="000000" w:themeColor="text1"/>
        </w:rPr>
        <w:t>日，含该日）至当个</w:t>
      </w:r>
      <w:r>
        <w:rPr>
          <w:rFonts w:hAnsi="宋体" w:hint="eastAsia"/>
          <w:color w:val="000000" w:themeColor="text1"/>
          <w:lang w:eastAsia="zh-Hans"/>
        </w:rPr>
        <w:t>固定</w:t>
      </w:r>
      <w:r>
        <w:rPr>
          <w:rFonts w:hAnsi="宋体"/>
          <w:color w:val="000000" w:themeColor="text1"/>
        </w:rPr>
        <w:t>开放日（</w:t>
      </w:r>
      <w:r>
        <w:rPr>
          <w:rFonts w:hAnsi="宋体"/>
          <w:color w:val="000000" w:themeColor="text1"/>
        </w:rPr>
        <w:t>T</w:t>
      </w:r>
      <w:r>
        <w:rPr>
          <w:rFonts w:hAnsi="宋体"/>
          <w:color w:val="000000" w:themeColor="text1"/>
        </w:rPr>
        <w:t>日）</w:t>
      </w:r>
      <w:r>
        <w:rPr>
          <w:rFonts w:hAnsi="宋体" w:hint="eastAsia"/>
          <w:color w:val="000000" w:themeColor="text1"/>
        </w:rPr>
        <w:t>前</w:t>
      </w:r>
      <w:r>
        <w:rPr>
          <w:rFonts w:hAnsi="宋体"/>
          <w:color w:val="000000" w:themeColor="text1"/>
        </w:rPr>
        <w:t>1</w:t>
      </w:r>
      <w:r>
        <w:rPr>
          <w:rFonts w:hAnsi="宋体" w:hint="eastAsia"/>
          <w:color w:val="000000" w:themeColor="text1"/>
        </w:rPr>
        <w:t>个交易日（</w:t>
      </w:r>
      <w:r>
        <w:rPr>
          <w:rFonts w:hAnsi="宋体" w:hint="eastAsia"/>
          <w:color w:val="000000" w:themeColor="text1"/>
        </w:rPr>
        <w:t>T</w:t>
      </w:r>
      <w:r>
        <w:rPr>
          <w:rFonts w:hAnsi="宋体"/>
          <w:color w:val="000000" w:themeColor="text1"/>
        </w:rPr>
        <w:t>-1</w:t>
      </w:r>
      <w:r>
        <w:rPr>
          <w:rFonts w:hAnsi="宋体" w:hint="eastAsia"/>
          <w:color w:val="000000" w:themeColor="text1"/>
        </w:rPr>
        <w:t>日，含该日）</w:t>
      </w:r>
      <w:r>
        <w:rPr>
          <w:rFonts w:hAnsi="宋体"/>
          <w:color w:val="000000" w:themeColor="text1"/>
        </w:rPr>
        <w:t>15:00</w:t>
      </w:r>
      <w:r>
        <w:rPr>
          <w:rFonts w:hAnsi="宋体" w:hint="eastAsia"/>
          <w:color w:val="000000" w:themeColor="text1"/>
        </w:rPr>
        <w:t>前向受托人（或代销机构）提交申购文件。</w:t>
      </w:r>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lastRenderedPageBreak/>
        <w:t>认购（申购）文件一经送达受托人，未经受托人同意，不得撤销。委托人向代销机构提交认购</w:t>
      </w:r>
      <w:r>
        <w:rPr>
          <w:rFonts w:hAnsi="宋体" w:hint="eastAsia"/>
          <w:color w:val="000000" w:themeColor="text1"/>
        </w:rPr>
        <w:t>/</w:t>
      </w:r>
      <w:r>
        <w:rPr>
          <w:rFonts w:hAnsi="宋体" w:hint="eastAsia"/>
          <w:color w:val="000000" w:themeColor="text1"/>
        </w:rPr>
        <w:t>申购文件的，受托人最终收到认购</w:t>
      </w:r>
      <w:r>
        <w:rPr>
          <w:rFonts w:hAnsi="宋体" w:hint="eastAsia"/>
          <w:color w:val="000000" w:themeColor="text1"/>
        </w:rPr>
        <w:t>/</w:t>
      </w:r>
      <w:r>
        <w:rPr>
          <w:rFonts w:hAnsi="宋体" w:hint="eastAsia"/>
          <w:color w:val="000000" w:themeColor="text1"/>
        </w:rPr>
        <w:t>申购文件时视为送达。</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认购（申购）文件的范围</w:t>
      </w:r>
    </w:p>
    <w:p w:rsidR="00066166" w:rsidRDefault="00F62BD0">
      <w:pPr>
        <w:pStyle w:val="NormalJustified"/>
        <w:widowControl w:val="0"/>
        <w:tabs>
          <w:tab w:val="left" w:pos="720"/>
          <w:tab w:val="left" w:pos="851"/>
          <w:tab w:val="left" w:pos="2552"/>
        </w:tabs>
        <w:spacing w:beforeLines="100" w:before="312" w:afterLines="100" w:after="312" w:line="300" w:lineRule="auto"/>
        <w:ind w:left="720"/>
        <w:rPr>
          <w:rFonts w:hAnsi="宋体"/>
          <w:b/>
          <w:bCs/>
          <w:i/>
          <w:iCs/>
          <w:color w:val="000000" w:themeColor="text1"/>
        </w:rPr>
      </w:pPr>
      <w:r>
        <w:rPr>
          <w:rFonts w:hAnsi="宋体"/>
          <w:color w:val="000000" w:themeColor="text1"/>
        </w:rPr>
        <w:t>对于</w:t>
      </w:r>
      <w:r>
        <w:rPr>
          <w:rFonts w:hAnsi="宋体" w:hint="eastAsia"/>
          <w:color w:val="000000" w:themeColor="text1"/>
        </w:rPr>
        <w:t>认购信托单位的投资者、本次</w:t>
      </w:r>
      <w:r>
        <w:rPr>
          <w:rFonts w:hAnsi="宋体"/>
          <w:color w:val="000000" w:themeColor="text1"/>
        </w:rPr>
        <w:t>申购前不持有本信托计划信托单位的投资者</w:t>
      </w:r>
      <w:r>
        <w:rPr>
          <w:rFonts w:hAnsi="宋体" w:hint="eastAsia"/>
          <w:color w:val="000000" w:themeColor="text1"/>
        </w:rPr>
        <w:t>（包括本次申购前曾</w:t>
      </w:r>
      <w:r>
        <w:rPr>
          <w:rFonts w:hAnsi="宋体"/>
          <w:color w:val="000000" w:themeColor="text1"/>
        </w:rPr>
        <w:t>持有本信托计划信托单位</w:t>
      </w:r>
      <w:r>
        <w:rPr>
          <w:rFonts w:hAnsi="宋体" w:hint="eastAsia"/>
          <w:color w:val="000000" w:themeColor="text1"/>
        </w:rPr>
        <w:t>但已全部赎回的投资者），除提供</w:t>
      </w:r>
      <w:r>
        <w:rPr>
          <w:rFonts w:hint="eastAsia"/>
          <w:color w:val="000000" w:themeColor="text1"/>
          <w:kern w:val="2"/>
          <w:szCs w:val="24"/>
        </w:rPr>
        <w:t>有效签署的信托文件之外，投资者还</w:t>
      </w:r>
      <w:r>
        <w:rPr>
          <w:rFonts w:hAnsi="宋体" w:hint="eastAsia"/>
          <w:color w:val="000000" w:themeColor="text1"/>
        </w:rPr>
        <w:t>应</w:t>
      </w:r>
      <w:r>
        <w:rPr>
          <w:rFonts w:hint="eastAsia"/>
          <w:color w:val="000000" w:themeColor="text1"/>
        </w:rPr>
        <w:t>根据受托人</w:t>
      </w:r>
      <w:r>
        <w:rPr>
          <w:rFonts w:hAnsi="宋体" w:hint="eastAsia"/>
          <w:color w:val="000000" w:themeColor="text1"/>
        </w:rPr>
        <w:t>（或代销机构）</w:t>
      </w:r>
      <w:r>
        <w:rPr>
          <w:rFonts w:hint="eastAsia"/>
          <w:color w:val="000000" w:themeColor="text1"/>
        </w:rPr>
        <w:t>的要求</w:t>
      </w:r>
      <w:r>
        <w:rPr>
          <w:rFonts w:hAnsi="宋体" w:hint="eastAsia"/>
          <w:color w:val="000000" w:themeColor="text1"/>
        </w:rPr>
        <w:t>向受托人（或代销机构）提交收入证明、资产证明、投资经历等材料，</w:t>
      </w:r>
      <w:r>
        <w:rPr>
          <w:rFonts w:hint="eastAsia"/>
          <w:color w:val="000000" w:themeColor="text1"/>
        </w:rPr>
        <w:t>否则受托人有权拒绝其认购、申购申请。</w:t>
      </w:r>
    </w:p>
    <w:p w:rsidR="00066166" w:rsidRDefault="00F62BD0">
      <w:pPr>
        <w:pStyle w:val="NormalJustified"/>
        <w:widowControl w:val="0"/>
        <w:tabs>
          <w:tab w:val="left" w:pos="720"/>
          <w:tab w:val="left" w:pos="851"/>
        </w:tabs>
        <w:spacing w:beforeLines="100" w:before="312" w:afterLines="100" w:after="312" w:line="300" w:lineRule="auto"/>
        <w:ind w:left="720"/>
        <w:rPr>
          <w:rFonts w:hAnsi="宋体"/>
          <w:color w:val="000000" w:themeColor="text1"/>
        </w:rPr>
      </w:pPr>
      <w:r>
        <w:rPr>
          <w:rFonts w:hAnsi="宋体" w:hint="eastAsia"/>
          <w:color w:val="000000" w:themeColor="text1"/>
        </w:rPr>
        <w:t>对于</w:t>
      </w:r>
      <w:r>
        <w:rPr>
          <w:rFonts w:hint="eastAsia"/>
          <w:color w:val="000000" w:themeColor="text1"/>
          <w:kern w:val="2"/>
          <w:szCs w:val="24"/>
        </w:rPr>
        <w:t>申购时已持有本信托计划信托单位的受益人，</w:t>
      </w:r>
      <w:r>
        <w:rPr>
          <w:rFonts w:hAnsi="宋体" w:hint="eastAsia"/>
          <w:color w:val="000000" w:themeColor="text1"/>
        </w:rPr>
        <w:t>其应向受托人（或代销机构）提交投资者有效签署的《申购申请表》等相关文件，无需就追加的信托资金（即申购资金）另行与受托人签署信托文件，受益人知悉并确认原信托文件项下全部内容且接受原信托文件的约束。如受益人此前提供的收入证明、资产证明、投资经历等材料已经过期或发生重大变化的，还应按照受托人（或代销机构）的要求补充提交资料。</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bookmarkStart w:id="97" w:name="_Ref41176720"/>
      <w:r>
        <w:rPr>
          <w:rFonts w:hint="eastAsia"/>
          <w:color w:val="000000" w:themeColor="text1"/>
          <w:kern w:val="2"/>
          <w:szCs w:val="24"/>
        </w:rPr>
        <w:t>认购（申购）资金的交付</w:t>
      </w:r>
      <w:bookmarkEnd w:id="97"/>
    </w:p>
    <w:p w:rsidR="00066166" w:rsidRDefault="00F62BD0">
      <w:pPr>
        <w:pStyle w:val="NormalJustified"/>
        <w:widowControl w:val="0"/>
        <w:tabs>
          <w:tab w:val="left" w:pos="720"/>
          <w:tab w:val="left" w:pos="851"/>
        </w:tabs>
        <w:spacing w:beforeLines="100" w:before="312" w:afterLines="100" w:after="312" w:line="300" w:lineRule="auto"/>
        <w:ind w:left="720"/>
        <w:rPr>
          <w:rFonts w:hAnsi="宋体"/>
          <w:snapToGrid w:val="0"/>
          <w:color w:val="000000" w:themeColor="text1"/>
          <w:kern w:val="0"/>
        </w:rPr>
      </w:pPr>
      <w:r>
        <w:rPr>
          <w:rFonts w:hAnsi="宋体" w:hint="eastAsia"/>
          <w:color w:val="000000" w:themeColor="text1"/>
        </w:rPr>
        <w:t>投资者应于本合同《认购（申购）条款》</w:t>
      </w:r>
      <w:r>
        <w:rPr>
          <w:rFonts w:hAnsi="宋体" w:hint="eastAsia"/>
          <w:color w:val="000000" w:themeColor="text1"/>
        </w:rPr>
        <w:t>/</w:t>
      </w:r>
      <w:r>
        <w:rPr>
          <w:rFonts w:hAnsi="宋体" w:hint="eastAsia"/>
          <w:color w:val="000000" w:themeColor="text1"/>
        </w:rPr>
        <w:t>《申购申请表》中载明的到账截止日期前，将认购（申购）资金支付至募集账户，如信托计划未开立募集账户的，则应支付至信托财产专户。具体</w:t>
      </w:r>
      <w:r>
        <w:rPr>
          <w:rFonts w:hAnsi="宋体" w:hint="eastAsia"/>
          <w:color w:val="000000" w:themeColor="text1"/>
        </w:rPr>
        <w:t>账户信息以《认购（申购）条款》</w:t>
      </w:r>
      <w:r>
        <w:rPr>
          <w:rFonts w:hAnsi="宋体" w:hint="eastAsia"/>
          <w:color w:val="000000" w:themeColor="text1"/>
        </w:rPr>
        <w:t>/</w:t>
      </w:r>
      <w:r>
        <w:rPr>
          <w:rFonts w:hAnsi="宋体" w:hint="eastAsia"/>
          <w:color w:val="000000" w:themeColor="text1"/>
        </w:rPr>
        <w:t>《申购申请表》为准。</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98" w:name="_Ref41257450"/>
      <w:bookmarkStart w:id="99" w:name="_Hlk24017628"/>
      <w:bookmarkStart w:id="100" w:name="_Hlk24027671"/>
      <w:r>
        <w:rPr>
          <w:rFonts w:hint="eastAsia"/>
          <w:color w:val="000000" w:themeColor="text1"/>
          <w:kern w:val="2"/>
          <w:szCs w:val="24"/>
        </w:rPr>
        <w:t>认购（申购）费用</w:t>
      </w:r>
      <w:bookmarkEnd w:id="98"/>
    </w:p>
    <w:p w:rsidR="00066166" w:rsidRDefault="00F62BD0">
      <w:pPr>
        <w:pStyle w:val="NormalJustified"/>
        <w:widowControl w:val="0"/>
        <w:tabs>
          <w:tab w:val="left" w:pos="720"/>
          <w:tab w:val="left" w:pos="851"/>
        </w:tabs>
        <w:spacing w:beforeLines="100" w:before="312" w:afterLines="100" w:after="312" w:line="300" w:lineRule="auto"/>
        <w:ind w:left="720"/>
        <w:rPr>
          <w:rFonts w:hAnsi="宋体"/>
          <w:snapToGrid w:val="0"/>
          <w:color w:val="000000" w:themeColor="text1"/>
          <w:kern w:val="0"/>
        </w:rPr>
      </w:pPr>
      <w:r>
        <w:rPr>
          <w:rFonts w:hAnsi="宋体" w:hint="eastAsia"/>
          <w:color w:val="000000" w:themeColor="text1"/>
        </w:rPr>
        <w:t>本信托计划不收取认购（申购）费用。</w:t>
      </w:r>
      <w:bookmarkEnd w:id="99"/>
      <w:bookmarkEnd w:id="10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认购（申购）申请的审核及确认</w:t>
      </w:r>
    </w:p>
    <w:p w:rsidR="00066166" w:rsidRDefault="00F62BD0">
      <w:pPr>
        <w:pStyle w:val="NormalJustified"/>
        <w:tabs>
          <w:tab w:val="left" w:pos="720"/>
          <w:tab w:val="left" w:pos="851"/>
        </w:tabs>
        <w:spacing w:beforeLines="100" w:before="312" w:afterLines="100" w:after="312" w:line="300" w:lineRule="auto"/>
        <w:ind w:left="720"/>
        <w:rPr>
          <w:rFonts w:hAnsi="宋体"/>
          <w:color w:val="000000" w:themeColor="text1"/>
        </w:rPr>
      </w:pPr>
      <w:r>
        <w:rPr>
          <w:rFonts w:hAnsi="宋体" w:hint="eastAsia"/>
          <w:color w:val="000000" w:themeColor="text1"/>
        </w:rPr>
        <w:t>受托人受理认购（申购）申请后，在认购（申购）确认日进行认购（申购）确认。</w:t>
      </w:r>
    </w:p>
    <w:p w:rsidR="00066166" w:rsidRDefault="00F62BD0">
      <w:pPr>
        <w:pStyle w:val="NormalJustified"/>
        <w:tabs>
          <w:tab w:val="left" w:pos="720"/>
          <w:tab w:val="left" w:pos="851"/>
        </w:tabs>
        <w:spacing w:beforeLines="100" w:before="312" w:afterLines="100" w:after="312" w:line="300" w:lineRule="auto"/>
        <w:ind w:left="720"/>
        <w:rPr>
          <w:color w:val="000000" w:themeColor="text1"/>
        </w:rPr>
      </w:pPr>
      <w:r>
        <w:rPr>
          <w:rFonts w:hAnsi="宋体" w:hint="eastAsia"/>
          <w:color w:val="000000" w:themeColor="text1"/>
        </w:rPr>
        <w:t>受托人（或代销机构）对认购（申购）申请的受理不代表该申请一定成功</w:t>
      </w:r>
      <w:r>
        <w:rPr>
          <w:rFonts w:hint="eastAsia"/>
          <w:color w:val="000000" w:themeColor="text1"/>
        </w:rPr>
        <w:t>，受托人将根据法律法规、监管规定及本合同约定审核投资者的认购（申购）申请。以下情况受托人有权拒绝投资者的认购（申购）申请：（</w:t>
      </w:r>
      <w:r>
        <w:rPr>
          <w:rFonts w:hint="eastAsia"/>
          <w:color w:val="000000" w:themeColor="text1"/>
        </w:rPr>
        <w:t>1</w:t>
      </w:r>
      <w:r>
        <w:rPr>
          <w:rFonts w:hint="eastAsia"/>
          <w:color w:val="000000" w:themeColor="text1"/>
        </w:rPr>
        <w:t>）受托</w:t>
      </w:r>
      <w:r>
        <w:rPr>
          <w:rFonts w:hint="eastAsia"/>
          <w:color w:val="000000" w:themeColor="text1"/>
        </w:rPr>
        <w:lastRenderedPageBreak/>
        <w:t>人认为认购</w:t>
      </w:r>
      <w:r>
        <w:rPr>
          <w:rFonts w:hint="eastAsia"/>
          <w:color w:val="000000" w:themeColor="text1"/>
        </w:rPr>
        <w:t>/</w:t>
      </w:r>
      <w:r>
        <w:rPr>
          <w:rFonts w:hint="eastAsia"/>
          <w:color w:val="000000" w:themeColor="text1"/>
        </w:rPr>
        <w:t>申购申请的投资者不满足本信托计划合格投资者要求；（</w:t>
      </w:r>
      <w:r>
        <w:rPr>
          <w:rFonts w:hint="eastAsia"/>
          <w:color w:val="000000" w:themeColor="text1"/>
        </w:rPr>
        <w:t>2</w:t>
      </w:r>
      <w:r>
        <w:rPr>
          <w:rFonts w:hint="eastAsia"/>
          <w:color w:val="000000" w:themeColor="text1"/>
        </w:rPr>
        <w:t>）受托人对投资者资金来源表示疑虑，投资者不能提供充分证明的；（</w:t>
      </w:r>
      <w:r>
        <w:rPr>
          <w:rFonts w:hint="eastAsia"/>
          <w:color w:val="000000" w:themeColor="text1"/>
        </w:rPr>
        <w:t>3</w:t>
      </w:r>
      <w:r>
        <w:rPr>
          <w:rFonts w:hint="eastAsia"/>
          <w:color w:val="000000" w:themeColor="text1"/>
        </w:rPr>
        <w:t>）受托人认为接受某笔或某些</w:t>
      </w:r>
      <w:bookmarkStart w:id="101" w:name="_Hlk47965247"/>
      <w:r>
        <w:rPr>
          <w:rFonts w:hAnsi="宋体" w:hint="eastAsia"/>
          <w:color w:val="000000" w:themeColor="text1"/>
        </w:rPr>
        <w:t>认购（申购）</w:t>
      </w:r>
      <w:bookmarkEnd w:id="101"/>
      <w:r>
        <w:rPr>
          <w:rFonts w:hint="eastAsia"/>
          <w:color w:val="000000" w:themeColor="text1"/>
        </w:rPr>
        <w:t>申请可能会影响或损害现有受益人利益；（</w:t>
      </w:r>
      <w:r>
        <w:rPr>
          <w:rFonts w:hint="eastAsia"/>
          <w:color w:val="000000" w:themeColor="text1"/>
        </w:rPr>
        <w:t>4</w:t>
      </w:r>
      <w:r>
        <w:rPr>
          <w:rFonts w:hint="eastAsia"/>
          <w:color w:val="000000" w:themeColor="text1"/>
        </w:rPr>
        <w:t>）投资者人数或资金规模不符合相关法律法规的规定或本信托合同的约定；（</w:t>
      </w:r>
      <w:r>
        <w:rPr>
          <w:color w:val="000000" w:themeColor="text1"/>
        </w:rPr>
        <w:t>5</w:t>
      </w:r>
      <w:r>
        <w:rPr>
          <w:rFonts w:hint="eastAsia"/>
          <w:color w:val="000000" w:themeColor="text1"/>
        </w:rPr>
        <w:t>）受托人认为应当拒绝的其他情形。</w:t>
      </w:r>
    </w:p>
    <w:p w:rsidR="00066166" w:rsidRDefault="00F62BD0">
      <w:pPr>
        <w:pStyle w:val="NormalJustified"/>
        <w:widowControl w:val="0"/>
        <w:tabs>
          <w:tab w:val="left" w:pos="720"/>
          <w:tab w:val="left" w:pos="851"/>
        </w:tabs>
        <w:spacing w:beforeLines="100" w:before="312" w:afterLines="100" w:after="312" w:line="300" w:lineRule="auto"/>
        <w:ind w:left="720"/>
        <w:rPr>
          <w:color w:val="000000" w:themeColor="text1"/>
        </w:rPr>
      </w:pPr>
      <w:r>
        <w:rPr>
          <w:rFonts w:hint="eastAsia"/>
          <w:color w:val="000000" w:themeColor="text1"/>
          <w:kern w:val="2"/>
          <w:szCs w:val="24"/>
        </w:rPr>
        <w:t>受托人</w:t>
      </w:r>
      <w:r>
        <w:rPr>
          <w:rFonts w:hAnsi="宋体"/>
          <w:color w:val="000000" w:themeColor="text1"/>
        </w:rPr>
        <w:t>经审核同意投资者的</w:t>
      </w:r>
      <w:r>
        <w:rPr>
          <w:rFonts w:hint="eastAsia"/>
          <w:color w:val="000000" w:themeColor="text1"/>
          <w:kern w:val="2"/>
          <w:szCs w:val="24"/>
        </w:rPr>
        <w:t>认购（申购）</w:t>
      </w:r>
      <w:r>
        <w:rPr>
          <w:rFonts w:hAnsi="宋体"/>
          <w:color w:val="000000" w:themeColor="text1"/>
        </w:rPr>
        <w:t>申请</w:t>
      </w:r>
      <w:r>
        <w:rPr>
          <w:rFonts w:hAnsi="宋体" w:hint="eastAsia"/>
          <w:color w:val="000000" w:themeColor="text1"/>
        </w:rPr>
        <w:t>，</w:t>
      </w:r>
      <w:r>
        <w:rPr>
          <w:rFonts w:hint="eastAsia"/>
          <w:color w:val="000000" w:themeColor="text1"/>
          <w:kern w:val="2"/>
          <w:szCs w:val="24"/>
        </w:rPr>
        <w:t>确认信托单位认购（申购）成功</w:t>
      </w:r>
      <w:r>
        <w:rPr>
          <w:rFonts w:hAnsi="宋体"/>
          <w:color w:val="000000" w:themeColor="text1"/>
        </w:rPr>
        <w:t>的，</w:t>
      </w:r>
      <w:r>
        <w:rPr>
          <w:rFonts w:hint="eastAsia"/>
          <w:color w:val="000000" w:themeColor="text1"/>
        </w:rPr>
        <w:t>投资者交付的认购（申购</w:t>
      </w:r>
      <w:r>
        <w:rPr>
          <w:rFonts w:hAnsi="宋体" w:hint="eastAsia"/>
          <w:color w:val="000000" w:themeColor="text1"/>
        </w:rPr>
        <w:t>）资金（包括通过代销机构交付的认购（申购）资金）于认购（申购）确认日计入信托财产，确认投资者认购（</w:t>
      </w:r>
      <w:r>
        <w:rPr>
          <w:rFonts w:hint="eastAsia"/>
          <w:color w:val="000000" w:themeColor="text1"/>
        </w:rPr>
        <w:t>申购）的信托单位</w:t>
      </w:r>
      <w:r>
        <w:rPr>
          <w:rFonts w:hAnsi="宋体" w:hint="eastAsia"/>
          <w:color w:val="000000" w:themeColor="text1"/>
        </w:rPr>
        <w:t>份数</w:t>
      </w:r>
      <w:r>
        <w:rPr>
          <w:rFonts w:hint="eastAsia"/>
          <w:color w:val="000000" w:themeColor="text1"/>
        </w:rPr>
        <w:t>。投资者成功认购（申购）的信托单位份数等具体信息</w:t>
      </w:r>
      <w:bookmarkStart w:id="102" w:name="_Hlk41255018"/>
      <w:r>
        <w:rPr>
          <w:rFonts w:hint="eastAsia"/>
          <w:color w:val="000000" w:themeColor="text1"/>
          <w:szCs w:val="24"/>
        </w:rPr>
        <w:t>以受托人确认的结果</w:t>
      </w:r>
      <w:r>
        <w:rPr>
          <w:rFonts w:hint="eastAsia"/>
          <w:color w:val="000000" w:themeColor="text1"/>
        </w:rPr>
        <w:t>为准</w:t>
      </w:r>
      <w:bookmarkEnd w:id="102"/>
      <w:r>
        <w:rPr>
          <w:rFonts w:hint="eastAsia"/>
          <w:color w:val="000000" w:themeColor="text1"/>
        </w:rPr>
        <w:t>。</w:t>
      </w:r>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color w:val="000000" w:themeColor="text1"/>
        </w:rPr>
        <w:t>受托人经审核未同意投资者的</w:t>
      </w:r>
      <w:r>
        <w:rPr>
          <w:rFonts w:hint="eastAsia"/>
          <w:color w:val="000000" w:themeColor="text1"/>
          <w:kern w:val="2"/>
          <w:szCs w:val="24"/>
        </w:rPr>
        <w:t>认购（申购）</w:t>
      </w:r>
      <w:r>
        <w:rPr>
          <w:rFonts w:hAnsi="宋体"/>
          <w:color w:val="000000" w:themeColor="text1"/>
        </w:rPr>
        <w:t>申请</w:t>
      </w:r>
      <w:r>
        <w:rPr>
          <w:rFonts w:hAnsi="宋体" w:hint="eastAsia"/>
          <w:color w:val="000000" w:themeColor="text1"/>
        </w:rPr>
        <w:t>，</w:t>
      </w:r>
      <w:r>
        <w:rPr>
          <w:rFonts w:hint="eastAsia"/>
          <w:color w:val="000000" w:themeColor="text1"/>
          <w:kern w:val="2"/>
          <w:szCs w:val="24"/>
        </w:rPr>
        <w:t>确认信托单位认购（申购）未成功</w:t>
      </w:r>
      <w:r>
        <w:rPr>
          <w:rFonts w:hAnsi="宋体"/>
          <w:color w:val="000000" w:themeColor="text1"/>
        </w:rPr>
        <w:t>的，</w:t>
      </w:r>
      <w:r>
        <w:rPr>
          <w:rFonts w:hAnsi="宋体" w:hint="eastAsia"/>
          <w:color w:val="000000" w:themeColor="text1"/>
        </w:rPr>
        <w:t>则</w:t>
      </w:r>
      <w:r>
        <w:rPr>
          <w:rFonts w:hAnsi="宋体"/>
          <w:color w:val="000000" w:themeColor="text1"/>
        </w:rPr>
        <w:t>投资者</w:t>
      </w:r>
      <w:r>
        <w:rPr>
          <w:rFonts w:hAnsi="宋体" w:hint="eastAsia"/>
          <w:color w:val="000000" w:themeColor="text1"/>
        </w:rPr>
        <w:t>该次</w:t>
      </w:r>
      <w:r>
        <w:rPr>
          <w:rFonts w:hAnsi="宋体"/>
          <w:color w:val="000000" w:themeColor="text1"/>
        </w:rPr>
        <w:t>签署并向受托人</w:t>
      </w:r>
      <w:r>
        <w:rPr>
          <w:rFonts w:hAnsi="宋体" w:hint="eastAsia"/>
          <w:color w:val="000000" w:themeColor="text1"/>
        </w:rPr>
        <w:t>（或代销机构）</w:t>
      </w:r>
      <w:r>
        <w:rPr>
          <w:rFonts w:hAnsi="宋体"/>
          <w:color w:val="000000" w:themeColor="text1"/>
        </w:rPr>
        <w:t>提交的</w:t>
      </w:r>
      <w:r>
        <w:rPr>
          <w:rFonts w:hAnsi="宋体" w:hint="eastAsia"/>
          <w:color w:val="000000" w:themeColor="text1"/>
        </w:rPr>
        <w:t>信托文件或《申购申请表》等相关文件</w:t>
      </w:r>
      <w:r>
        <w:rPr>
          <w:rFonts w:hAnsi="宋体"/>
          <w:color w:val="000000" w:themeColor="text1"/>
        </w:rPr>
        <w:t>自动失效</w:t>
      </w:r>
      <w:r>
        <w:rPr>
          <w:rFonts w:hAnsi="宋体"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103" w:name="_Ref41184392"/>
      <w:r>
        <w:rPr>
          <w:rFonts w:hint="eastAsia"/>
          <w:color w:val="000000" w:themeColor="text1"/>
          <w:kern w:val="2"/>
          <w:szCs w:val="24"/>
        </w:rPr>
        <w:t>认购（申购）成功的条件</w:t>
      </w:r>
      <w:bookmarkEnd w:id="103"/>
    </w:p>
    <w:p w:rsidR="00066166" w:rsidRDefault="00F62BD0">
      <w:pPr>
        <w:pStyle w:val="NormalJustified"/>
        <w:widowControl w:val="0"/>
        <w:tabs>
          <w:tab w:val="left" w:pos="720"/>
          <w:tab w:val="left" w:pos="851"/>
        </w:tabs>
        <w:spacing w:beforeLines="100" w:before="312" w:afterLines="100" w:after="312" w:line="300" w:lineRule="auto"/>
        <w:ind w:left="720"/>
        <w:rPr>
          <w:color w:val="000000" w:themeColor="text1"/>
          <w:kern w:val="2"/>
          <w:szCs w:val="24"/>
        </w:rPr>
      </w:pPr>
      <w:r>
        <w:rPr>
          <w:rFonts w:hint="eastAsia"/>
          <w:color w:val="000000" w:themeColor="text1"/>
          <w:kern w:val="2"/>
          <w:szCs w:val="24"/>
        </w:rPr>
        <w:t>同时满足以下条件时，相应信托单位认购（申购）成功：</w:t>
      </w:r>
    </w:p>
    <w:p w:rsidR="00066166" w:rsidRDefault="00F62BD0">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_Ref41257422 \r \h  \* MERGEFORMAT </w:instrText>
      </w:r>
      <w:r>
        <w:fldChar w:fldCharType="separate"/>
      </w:r>
      <w:r>
        <w:rPr>
          <w:rFonts w:hAnsi="宋体"/>
          <w:color w:val="000000" w:themeColor="text1"/>
        </w:rPr>
        <w:t>6.2.1</w:t>
      </w:r>
      <w:r>
        <w:fldChar w:fldCharType="end"/>
      </w:r>
      <w:r>
        <w:rPr>
          <w:rFonts w:hAnsi="宋体" w:hint="eastAsia"/>
          <w:color w:val="000000" w:themeColor="text1"/>
        </w:rPr>
        <w:t>款的约定向受托人提交认购（申购）文件</w:t>
      </w:r>
      <w:r>
        <w:rPr>
          <w:rFonts w:hAnsi="宋体"/>
          <w:color w:val="000000" w:themeColor="text1"/>
        </w:rPr>
        <w:t>；</w:t>
      </w:r>
    </w:p>
    <w:p w:rsidR="00066166" w:rsidRDefault="00F62BD0">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_Ref41176720 \r \h  \* MERGEFORMAT </w:instrText>
      </w:r>
      <w:r>
        <w:fldChar w:fldCharType="separate"/>
      </w:r>
      <w:r>
        <w:rPr>
          <w:rFonts w:hAnsi="宋体"/>
          <w:color w:val="000000" w:themeColor="text1"/>
        </w:rPr>
        <w:t>6.2.3</w:t>
      </w:r>
      <w:r>
        <w:fldChar w:fldCharType="end"/>
      </w:r>
      <w:r>
        <w:rPr>
          <w:rFonts w:hAnsi="宋体" w:hint="eastAsia"/>
          <w:color w:val="000000" w:themeColor="text1"/>
        </w:rPr>
        <w:t>款约定完成</w:t>
      </w:r>
      <w:r>
        <w:rPr>
          <w:rFonts w:hAnsi="宋体" w:hint="eastAsia"/>
          <w:color w:val="000000" w:themeColor="text1"/>
        </w:rPr>
        <w:t>认购（申购）资金的交付；</w:t>
      </w:r>
    </w:p>
    <w:p w:rsidR="00066166" w:rsidRDefault="00F62BD0">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_Ref41257450 \r \h  \* MERGEFORMAT </w:instrText>
      </w:r>
      <w:r>
        <w:fldChar w:fldCharType="separate"/>
      </w:r>
      <w:r>
        <w:rPr>
          <w:rFonts w:hAnsi="宋体"/>
          <w:color w:val="000000" w:themeColor="text1"/>
        </w:rPr>
        <w:t>6.2.4</w:t>
      </w:r>
      <w:r>
        <w:fldChar w:fldCharType="end"/>
      </w:r>
      <w:r>
        <w:rPr>
          <w:rFonts w:hAnsi="宋体" w:hint="eastAsia"/>
          <w:color w:val="000000" w:themeColor="text1"/>
        </w:rPr>
        <w:t>款约定完成认购（申购）费用（如有）的交付；</w:t>
      </w:r>
    </w:p>
    <w:p w:rsidR="00066166" w:rsidRDefault="00F62BD0">
      <w:pPr>
        <w:pStyle w:val="NormalJustified"/>
        <w:widowControl w:val="0"/>
        <w:numPr>
          <w:ilvl w:val="0"/>
          <w:numId w:val="8"/>
        </w:numPr>
        <w:spacing w:beforeLines="100" w:before="312" w:afterLines="100" w:after="312" w:line="300" w:lineRule="auto"/>
        <w:rPr>
          <w:rFonts w:hAnsi="宋体"/>
          <w:color w:val="000000" w:themeColor="text1"/>
        </w:rPr>
      </w:pPr>
      <w:r>
        <w:rPr>
          <w:rFonts w:hAnsi="宋体"/>
          <w:color w:val="000000" w:themeColor="text1"/>
        </w:rPr>
        <w:t>受托人同意投资者认购（申购）申请</w:t>
      </w:r>
      <w:r>
        <w:rPr>
          <w:rFonts w:hAnsi="宋体" w:hint="eastAsia"/>
          <w:color w:val="000000" w:themeColor="text1"/>
        </w:rPr>
        <w:t>；</w:t>
      </w:r>
    </w:p>
    <w:p w:rsidR="00066166" w:rsidRDefault="00F62BD0">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信托计划已成立</w:t>
      </w:r>
      <w:r>
        <w:rPr>
          <w:rFonts w:hAnsi="宋体"/>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活期存款利息的处理</w:t>
      </w:r>
    </w:p>
    <w:p w:rsidR="00066166" w:rsidRDefault="00F62BD0">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如信托计划不能成立，受托人将在【推介期满后的</w:t>
      </w:r>
      <w:r>
        <w:rPr>
          <w:rFonts w:hAnsi="宋体"/>
          <w:color w:val="000000" w:themeColor="text1"/>
        </w:rPr>
        <w:t>10</w:t>
      </w:r>
      <w:r>
        <w:rPr>
          <w:rFonts w:hAnsi="宋体" w:hint="eastAsia"/>
          <w:color w:val="000000" w:themeColor="text1"/>
        </w:rPr>
        <w:t>个工作日内】返还投资者已</w:t>
      </w:r>
      <w:r>
        <w:rPr>
          <w:rFonts w:hAnsi="宋体"/>
          <w:color w:val="000000" w:themeColor="text1"/>
        </w:rPr>
        <w:t>缴付的</w:t>
      </w:r>
      <w:r>
        <w:rPr>
          <w:rFonts w:hAnsi="宋体" w:hint="eastAsia"/>
          <w:color w:val="000000" w:themeColor="text1"/>
        </w:rPr>
        <w:t>认购资金及认购费用（如有）</w:t>
      </w:r>
      <w:r>
        <w:rPr>
          <w:rFonts w:hAnsi="宋体"/>
          <w:color w:val="000000" w:themeColor="text1"/>
        </w:rPr>
        <w:t>并加计</w:t>
      </w:r>
      <w:r>
        <w:rPr>
          <w:rFonts w:hAnsi="宋体" w:hint="eastAsia"/>
          <w:color w:val="000000" w:themeColor="text1"/>
        </w:rPr>
        <w:t>自信托资金进入募集账户</w:t>
      </w:r>
      <w:r>
        <w:rPr>
          <w:rFonts w:hAnsi="宋体" w:hint="eastAsia"/>
          <w:color w:val="000000" w:themeColor="text1"/>
        </w:rPr>
        <w:t>/</w:t>
      </w:r>
      <w:r>
        <w:rPr>
          <w:rFonts w:hAnsi="宋体" w:hint="eastAsia"/>
          <w:color w:val="000000" w:themeColor="text1"/>
        </w:rPr>
        <w:t>信托财产专户期间</w:t>
      </w:r>
      <w:r>
        <w:rPr>
          <w:rFonts w:hAnsi="宋体"/>
          <w:color w:val="000000" w:themeColor="text1"/>
        </w:rPr>
        <w:t>银行同期活期存款利息</w:t>
      </w:r>
      <w:r>
        <w:rPr>
          <w:rFonts w:hAnsi="宋体" w:hint="eastAsia"/>
          <w:color w:val="000000" w:themeColor="text1"/>
        </w:rPr>
        <w:t>。</w:t>
      </w:r>
      <w:bookmarkStart w:id="104" w:name="_Ref246996912"/>
      <w:r>
        <w:rPr>
          <w:rFonts w:hAnsi="宋体"/>
          <w:color w:val="000000" w:themeColor="text1"/>
        </w:rPr>
        <w:t>由此产生的相关债务和费用，由受托人以固有财产承担。受托人返还前述款项及</w:t>
      </w:r>
      <w:r>
        <w:rPr>
          <w:rFonts w:hAnsi="宋体"/>
          <w:color w:val="000000" w:themeColor="text1"/>
        </w:rPr>
        <w:lastRenderedPageBreak/>
        <w:t>利息之后，受托人就信托</w:t>
      </w:r>
      <w:r>
        <w:rPr>
          <w:rFonts w:hAnsi="宋体" w:hint="eastAsia"/>
          <w:color w:val="000000" w:themeColor="text1"/>
        </w:rPr>
        <w:t>文件</w:t>
      </w:r>
      <w:r>
        <w:rPr>
          <w:rFonts w:hAnsi="宋体"/>
          <w:color w:val="000000" w:themeColor="text1"/>
        </w:rPr>
        <w:t>所列事项免除一切相关责任。</w:t>
      </w:r>
      <w:bookmarkEnd w:id="104"/>
    </w:p>
    <w:p w:rsidR="00066166" w:rsidRDefault="00F62BD0">
      <w:pPr>
        <w:pStyle w:val="NormalJustified"/>
        <w:widowControl w:val="0"/>
        <w:numPr>
          <w:ilvl w:val="0"/>
          <w:numId w:val="9"/>
        </w:numPr>
        <w:spacing w:beforeLines="100" w:before="312" w:afterLines="100" w:after="312" w:line="300" w:lineRule="auto"/>
        <w:rPr>
          <w:rFonts w:hAnsi="宋体"/>
          <w:color w:val="000000" w:themeColor="text1"/>
        </w:rPr>
      </w:pPr>
      <w:bookmarkStart w:id="105" w:name="_Hlk24027549"/>
      <w:r>
        <w:rPr>
          <w:rFonts w:hAnsi="宋体" w:hint="eastAsia"/>
          <w:color w:val="000000" w:themeColor="text1"/>
        </w:rPr>
        <w:t>如</w:t>
      </w:r>
      <w:r>
        <w:rPr>
          <w:rFonts w:hAnsi="宋体"/>
          <w:color w:val="000000" w:themeColor="text1"/>
        </w:rPr>
        <w:t>信托计划成立</w:t>
      </w:r>
      <w:r>
        <w:rPr>
          <w:rFonts w:hAnsi="宋体" w:hint="eastAsia"/>
          <w:color w:val="000000" w:themeColor="text1"/>
        </w:rPr>
        <w:t>，委托人交付的信托资金的活期存款利息（如有）计入信托财产，但不新增信托单位份数</w:t>
      </w:r>
      <w:r>
        <w:rPr>
          <w:rFonts w:hAnsi="宋体"/>
          <w:color w:val="000000" w:themeColor="text1"/>
        </w:rPr>
        <w:t>。</w:t>
      </w:r>
      <w:bookmarkEnd w:id="105"/>
    </w:p>
    <w:p w:rsidR="00066166" w:rsidRDefault="00F62BD0">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如信托计划成立，</w:t>
      </w:r>
      <w:bookmarkStart w:id="106" w:name="_Hlk75981437"/>
      <w:r>
        <w:rPr>
          <w:rFonts w:hAnsi="宋体" w:hint="eastAsia"/>
          <w:color w:val="000000" w:themeColor="text1"/>
        </w:rPr>
        <w:t>但某投资者认购不成功的，受托人将在推介期满后的</w:t>
      </w:r>
      <w:r>
        <w:rPr>
          <w:rFonts w:hAnsi="宋体"/>
          <w:color w:val="000000" w:themeColor="text1"/>
        </w:rPr>
        <w:t>10</w:t>
      </w:r>
      <w:r>
        <w:rPr>
          <w:rFonts w:hAnsi="宋体" w:hint="eastAsia"/>
          <w:color w:val="000000" w:themeColor="text1"/>
        </w:rPr>
        <w:t>个工作日内返还投资者已</w:t>
      </w:r>
      <w:r>
        <w:rPr>
          <w:rFonts w:hAnsi="宋体"/>
          <w:color w:val="000000" w:themeColor="text1"/>
        </w:rPr>
        <w:t>缴付的</w:t>
      </w:r>
      <w:r>
        <w:rPr>
          <w:rFonts w:hAnsi="宋体" w:hint="eastAsia"/>
          <w:color w:val="000000" w:themeColor="text1"/>
        </w:rPr>
        <w:t>认购资金及认购费用（如有），但期间认购资金及认购费用（如有）产生的活期存款利息（如有）计入信托财产，不予返还</w:t>
      </w:r>
      <w:bookmarkEnd w:id="106"/>
      <w:r>
        <w:rPr>
          <w:rFonts w:hAnsi="宋体" w:hint="eastAsia"/>
          <w:color w:val="000000" w:themeColor="text1"/>
        </w:rPr>
        <w:t>。</w:t>
      </w:r>
    </w:p>
    <w:p w:rsidR="00066166" w:rsidRDefault="00F62BD0">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信托计划存续期内，</w:t>
      </w:r>
      <w:bookmarkStart w:id="107" w:name="_Hlk75981428"/>
      <w:r>
        <w:rPr>
          <w:rFonts w:hAnsi="宋体" w:hint="eastAsia"/>
          <w:color w:val="000000" w:themeColor="text1"/>
        </w:rPr>
        <w:t>投资者</w:t>
      </w:r>
      <w:r>
        <w:rPr>
          <w:rFonts w:hAnsi="宋体" w:hint="eastAsia"/>
          <w:color w:val="000000" w:themeColor="text1"/>
        </w:rPr>
        <w:t>成功申购信托单位的，投资者交付的申购资金及申购费用（如有）的活期存款利息计入信托财产，但不新增信托单位份数；某投资者申购不成功的，受托人将在确认该投资者申购不成功后的</w:t>
      </w:r>
      <w:r>
        <w:rPr>
          <w:rFonts w:hAnsi="宋体"/>
          <w:color w:val="000000" w:themeColor="text1"/>
        </w:rPr>
        <w:t>10</w:t>
      </w:r>
      <w:r>
        <w:rPr>
          <w:rFonts w:hAnsi="宋体" w:hint="eastAsia"/>
          <w:color w:val="000000" w:themeColor="text1"/>
        </w:rPr>
        <w:t>个工作日内返还该投资者已</w:t>
      </w:r>
      <w:r>
        <w:rPr>
          <w:rFonts w:hAnsi="宋体"/>
          <w:color w:val="000000" w:themeColor="text1"/>
        </w:rPr>
        <w:t>缴付的</w:t>
      </w:r>
      <w:r>
        <w:rPr>
          <w:rFonts w:hAnsi="宋体" w:hint="eastAsia"/>
          <w:color w:val="000000" w:themeColor="text1"/>
        </w:rPr>
        <w:t>申购资金及申购费用（如有），但期间申购资金及申购费用（如有）产生的活期存款利息（如有）计入信托财产，不予返还</w:t>
      </w:r>
      <w:bookmarkEnd w:id="107"/>
      <w:r>
        <w:rPr>
          <w:rFonts w:hAnsi="宋体" w:hint="eastAsia"/>
          <w:color w:val="000000" w:themeColor="text1"/>
        </w:rPr>
        <w:t>。</w:t>
      </w:r>
    </w:p>
    <w:p w:rsidR="00066166" w:rsidRDefault="00F62BD0">
      <w:pPr>
        <w:pStyle w:val="NormalJustified"/>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尽管有前述约定，如受托人决定聘请代理收付机构或其他代销机构，且代理收付机构或其他代销机构代收信托资金的，对于代理收付机构或其他代销机构代收的信托资金自进入代理收付账户</w:t>
      </w:r>
      <w:r>
        <w:rPr>
          <w:rFonts w:hAnsi="宋体" w:hint="eastAsia"/>
          <w:color w:val="000000" w:themeColor="text1"/>
        </w:rPr>
        <w:t>/</w:t>
      </w:r>
      <w:r>
        <w:rPr>
          <w:rFonts w:hAnsi="宋体" w:hint="eastAsia"/>
          <w:color w:val="000000" w:themeColor="text1"/>
        </w:rPr>
        <w:t>销售归集账户到划入信托财产专户</w:t>
      </w:r>
      <w:r>
        <w:rPr>
          <w:rFonts w:hAnsi="宋体" w:hint="eastAsia"/>
          <w:color w:val="000000" w:themeColor="text1"/>
        </w:rPr>
        <w:t>/</w:t>
      </w:r>
      <w:r>
        <w:rPr>
          <w:rFonts w:hAnsi="宋体" w:hint="eastAsia"/>
          <w:color w:val="000000" w:themeColor="text1"/>
        </w:rPr>
        <w:t>募集账户的期间内的利息的计算方式由投资者与代理收付机构或其他代销机构约定，与受托人无关。</w:t>
      </w:r>
    </w:p>
    <w:p w:rsidR="00066166" w:rsidRDefault="00F62BD0">
      <w:pPr>
        <w:pStyle w:val="NormalJustified"/>
        <w:widowControl w:val="0"/>
        <w:spacing w:beforeLines="100" w:before="312" w:afterLines="100" w:after="312" w:line="300" w:lineRule="auto"/>
        <w:ind w:left="1140"/>
        <w:rPr>
          <w:rFonts w:hAnsi="宋体"/>
          <w:color w:val="000000" w:themeColor="text1"/>
        </w:rPr>
      </w:pPr>
      <w:r>
        <w:rPr>
          <w:rFonts w:hAnsi="宋体" w:hint="eastAsia"/>
          <w:color w:val="000000" w:themeColor="text1"/>
        </w:rPr>
        <w:t>该等模式项下如受托人宣布信托计划不成立或当个募集期募集不成功，则受托人应于推介期</w:t>
      </w:r>
      <w:r>
        <w:rPr>
          <w:rFonts w:hAnsi="宋体" w:hint="eastAsia"/>
          <w:color w:val="000000" w:themeColor="text1"/>
        </w:rPr>
        <w:t>/</w:t>
      </w:r>
      <w:r>
        <w:rPr>
          <w:rFonts w:hAnsi="宋体" w:hint="eastAsia"/>
          <w:color w:val="000000" w:themeColor="text1"/>
        </w:rPr>
        <w:t>当个募集期结束后</w:t>
      </w:r>
      <w:r>
        <w:rPr>
          <w:rFonts w:hAnsi="宋体" w:hint="eastAsia"/>
          <w:color w:val="000000" w:themeColor="text1"/>
        </w:rPr>
        <w:t>10</w:t>
      </w:r>
      <w:r>
        <w:rPr>
          <w:rFonts w:hAnsi="宋体" w:hint="eastAsia"/>
          <w:color w:val="000000" w:themeColor="text1"/>
        </w:rPr>
        <w:t>个工作日内将代理收付机构或其他代销机构代为交付的信托资金加计信托资金进入信托财产专户</w:t>
      </w:r>
      <w:r>
        <w:rPr>
          <w:rFonts w:hAnsi="宋体" w:hint="eastAsia"/>
          <w:color w:val="000000" w:themeColor="text1"/>
        </w:rPr>
        <w:t>/</w:t>
      </w:r>
      <w:r>
        <w:rPr>
          <w:rFonts w:hAnsi="宋体" w:hint="eastAsia"/>
          <w:color w:val="000000" w:themeColor="text1"/>
        </w:rPr>
        <w:t>募集账户之日（含该日）至返还日（不含该日）期间按中国人民银行同期活期存款利率计算的利息同期返还至代理收付账户</w:t>
      </w:r>
      <w:r>
        <w:rPr>
          <w:rFonts w:hAnsi="宋体" w:hint="eastAsia"/>
          <w:color w:val="000000" w:themeColor="text1"/>
        </w:rPr>
        <w:t>/</w:t>
      </w:r>
      <w:r>
        <w:rPr>
          <w:rFonts w:hAnsi="宋体" w:hint="eastAsia"/>
          <w:color w:val="000000" w:themeColor="text1"/>
        </w:rPr>
        <w:t>销售归集账户，即视为受托人履行了前述款项的返还义务，受托人就本合同所列事项免除一切相关责任。代理收付机构或其他代销机构与投资</w:t>
      </w:r>
      <w:r>
        <w:rPr>
          <w:rFonts w:hAnsi="宋体" w:hint="eastAsia"/>
          <w:color w:val="000000" w:themeColor="text1"/>
        </w:rPr>
        <w:t>者自行处理前述款项的返还事宜，如产生任何争议和纠纷的，均与受托人无关。</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认购（申购）份数</w:t>
      </w:r>
    </w:p>
    <w:p w:rsidR="00066166" w:rsidRDefault="00F62BD0">
      <w:pPr>
        <w:pStyle w:val="NormalJustified"/>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投资者认购的信托单位份数＝认购资金金额÷</w:t>
      </w:r>
      <w:r>
        <w:rPr>
          <w:rFonts w:hAnsi="宋体"/>
          <w:color w:val="000000" w:themeColor="text1"/>
        </w:rPr>
        <w:t>1.00</w:t>
      </w:r>
      <w:r>
        <w:rPr>
          <w:rFonts w:hAnsi="宋体" w:hint="eastAsia"/>
          <w:color w:val="000000" w:themeColor="text1"/>
        </w:rPr>
        <w:t>元</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lastRenderedPageBreak/>
        <w:t>投资者固定开放日申购的信托单位份数＝申购资金金额÷固定开放日当日信托单位净值</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投资者临时开放日申购的信托单位份数＝申购资金金额÷【临时开放日当日信托单位净值】</w:t>
      </w:r>
      <w:r>
        <w:rPr>
          <w:rFonts w:hAnsi="宋体" w:hint="eastAsia"/>
          <w:color w:val="000000" w:themeColor="text1"/>
        </w:rPr>
        <w:t xml:space="preserve"> </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认购（申购）份数的计算保留到小数点后</w:t>
      </w:r>
      <w:r>
        <w:rPr>
          <w:rFonts w:hAnsi="宋体"/>
          <w:color w:val="000000" w:themeColor="text1"/>
        </w:rPr>
        <w:t>2</w:t>
      </w:r>
      <w:r>
        <w:rPr>
          <w:rFonts w:hAnsi="宋体" w:hint="eastAsia"/>
          <w:color w:val="000000" w:themeColor="text1"/>
        </w:rPr>
        <w:t>位，小数点</w:t>
      </w:r>
      <w:r>
        <w:rPr>
          <w:rFonts w:hAnsi="宋体"/>
          <w:color w:val="000000" w:themeColor="text1"/>
        </w:rPr>
        <w:t>2</w:t>
      </w:r>
      <w:r>
        <w:rPr>
          <w:rFonts w:hAnsi="宋体" w:hint="eastAsia"/>
          <w:color w:val="000000" w:themeColor="text1"/>
        </w:rPr>
        <w:t>位后舍位，由此产生的损益归入信托财产。</w:t>
      </w:r>
      <w:bookmarkEnd w:id="92"/>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08" w:name="_Hlk5213767"/>
      <w:r>
        <w:rPr>
          <w:rFonts w:ascii="Times New Roman" w:eastAsia="宋体" w:hAnsi="Times New Roman" w:hint="eastAsia"/>
          <w:color w:val="000000" w:themeColor="text1"/>
          <w:sz w:val="24"/>
          <w:szCs w:val="24"/>
        </w:rPr>
        <w:t>拒绝或</w:t>
      </w:r>
      <w:r>
        <w:rPr>
          <w:rFonts w:ascii="Times New Roman" w:eastAsia="宋体" w:hAnsi="Times New Roman"/>
          <w:color w:val="000000" w:themeColor="text1"/>
          <w:sz w:val="24"/>
          <w:szCs w:val="24"/>
        </w:rPr>
        <w:t>暂停申购</w:t>
      </w:r>
      <w:r>
        <w:rPr>
          <w:rFonts w:ascii="Times New Roman" w:eastAsia="宋体" w:hAnsi="Times New Roman" w:hint="eastAsia"/>
          <w:color w:val="000000" w:themeColor="text1"/>
          <w:sz w:val="24"/>
          <w:szCs w:val="24"/>
        </w:rPr>
        <w:t>的情形</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发生以下情形时，受托人可以决定本信托计划</w:t>
      </w:r>
      <w:r>
        <w:rPr>
          <w:rFonts w:hAnsi="宋体" w:hint="eastAsia"/>
          <w:color w:val="000000" w:themeColor="text1"/>
        </w:rPr>
        <w:t>拒绝或</w:t>
      </w:r>
      <w:r>
        <w:rPr>
          <w:rFonts w:hAnsi="宋体"/>
          <w:color w:val="000000" w:themeColor="text1"/>
        </w:rPr>
        <w:t>暂停办理申购，不接受任何投资者的申购申请并在网站发布暂停申购的公告：</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因不可抗力导致信托计划无法正常运作；</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发生信托文件约定的暂停信托财产估值情形；</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证券交易场所交易时间非正常停市，导致无法计算开放日信托财产净值；</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受托人认为接受某笔或某些申购申请可能会影响或损害现有受益人利益；</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信托财产规模过大，使受托人无法找到合适的投资品种，或其他可能对信托计划投资业绩产生负面影响，或受托人认定的其他损害现有受益人利益的情形；</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因受托人营业场所、保管人等相关方的一方或多方技术保障或人员支持等不充分导致无法正常进行工作；</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申购达到或可能达到受托人设定的数额限制；</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出现或可能出现超过</w:t>
      </w:r>
      <w:r>
        <w:rPr>
          <w:rFonts w:hAnsi="宋体"/>
          <w:color w:val="000000" w:themeColor="text1"/>
        </w:rPr>
        <w:t>人数规模上限</w:t>
      </w:r>
      <w:r>
        <w:rPr>
          <w:rFonts w:hAnsi="宋体" w:hint="eastAsia"/>
          <w:color w:val="000000" w:themeColor="text1"/>
        </w:rPr>
        <w:t>情况；</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w:t>
      </w:r>
      <w:r>
        <w:rPr>
          <w:rFonts w:hAnsi="宋体"/>
          <w:color w:val="000000" w:themeColor="text1"/>
        </w:rPr>
        <w:t>认为申购</w:t>
      </w:r>
      <w:r>
        <w:rPr>
          <w:rFonts w:hAnsi="宋体" w:hint="eastAsia"/>
          <w:color w:val="000000" w:themeColor="text1"/>
        </w:rPr>
        <w:t>申请</w:t>
      </w:r>
      <w:r>
        <w:rPr>
          <w:rFonts w:hAnsi="宋体"/>
          <w:color w:val="000000" w:themeColor="text1"/>
        </w:rPr>
        <w:t>的投资者</w:t>
      </w:r>
      <w:r>
        <w:rPr>
          <w:rFonts w:hAnsi="宋体" w:hint="eastAsia"/>
          <w:color w:val="000000" w:themeColor="text1"/>
        </w:rPr>
        <w:t>不满足本计划</w:t>
      </w:r>
      <w:r>
        <w:rPr>
          <w:rFonts w:hAnsi="宋体"/>
          <w:color w:val="000000" w:themeColor="text1"/>
        </w:rPr>
        <w:t>合格投资者要求</w:t>
      </w:r>
      <w:r>
        <w:rPr>
          <w:rFonts w:hAnsi="宋体" w:hint="eastAsia"/>
          <w:color w:val="000000" w:themeColor="text1"/>
        </w:rPr>
        <w:t>；</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受托人对投资者资金来源表示疑虑，投资者不能提供充分证明的；</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lastRenderedPageBreak/>
        <w:t>受托人认为应当拒绝或暂停申购的其他情形；</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受托人认为接受某笔或某些申购申请可能会导致本信托计划规模超过本合同约定的；</w:t>
      </w:r>
    </w:p>
    <w:p w:rsidR="00066166" w:rsidRDefault="00F62BD0">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法律法规规定或监管机构认定的其他情形。</w:t>
      </w:r>
      <w:bookmarkEnd w:id="108"/>
    </w:p>
    <w:p w:rsidR="00066166" w:rsidRDefault="00066166">
      <w:pPr>
        <w:pStyle w:val="NormalJustified"/>
        <w:widowControl w:val="0"/>
        <w:spacing w:beforeLines="100" w:before="312" w:afterLines="100" w:after="312" w:line="300" w:lineRule="auto"/>
        <w:ind w:left="1140"/>
        <w:rPr>
          <w:rFonts w:hAnsi="宋体"/>
          <w:color w:val="000000" w:themeColor="text1"/>
        </w:rPr>
      </w:pPr>
    </w:p>
    <w:p w:rsidR="00066166" w:rsidRDefault="00F62BD0">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09" w:name="_Toc91143607"/>
      <w:r>
        <w:rPr>
          <w:color w:val="000000" w:themeColor="text1"/>
          <w:sz w:val="24"/>
          <w:szCs w:val="24"/>
        </w:rPr>
        <w:t>信托</w:t>
      </w:r>
      <w:r>
        <w:rPr>
          <w:rFonts w:hint="eastAsia"/>
          <w:color w:val="000000" w:themeColor="text1"/>
          <w:sz w:val="24"/>
          <w:szCs w:val="24"/>
        </w:rPr>
        <w:t>单位的赎回</w:t>
      </w:r>
      <w:bookmarkEnd w:id="109"/>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10" w:name="_Hlk75981483"/>
      <w:r>
        <w:rPr>
          <w:rFonts w:ascii="Times New Roman" w:eastAsia="宋体" w:hAnsi="Times New Roman" w:hint="eastAsia"/>
          <w:color w:val="000000" w:themeColor="text1"/>
          <w:sz w:val="24"/>
          <w:szCs w:val="24"/>
        </w:rPr>
        <w:t>就</w:t>
      </w:r>
      <w:bookmarkStart w:id="111" w:name="_Hlk91086903"/>
      <w:r>
        <w:rPr>
          <w:rFonts w:ascii="Times New Roman" w:eastAsia="宋体" w:hAnsi="Times New Roman" w:hint="eastAsia"/>
          <w:color w:val="000000" w:themeColor="text1"/>
          <w:sz w:val="24"/>
          <w:szCs w:val="24"/>
        </w:rPr>
        <w:t>某份信托单位而言，该份信托单位的锁定期指自该份信托单位的认购（申购）确认日（含）起至自该日起满</w:t>
      </w:r>
      <w:r>
        <w:rPr>
          <w:rFonts w:ascii="Times New Roman" w:eastAsia="宋体" w:hAnsi="Times New Roman" w:hint="eastAsia"/>
          <w:color w:val="000000" w:themeColor="text1"/>
          <w:sz w:val="24"/>
          <w:szCs w:val="24"/>
        </w:rPr>
        <w:t>12</w:t>
      </w:r>
      <w:r>
        <w:rPr>
          <w:rFonts w:ascii="Times New Roman" w:eastAsia="宋体" w:hAnsi="Times New Roman" w:hint="eastAsia"/>
          <w:color w:val="000000" w:themeColor="text1"/>
          <w:sz w:val="24"/>
          <w:szCs w:val="24"/>
        </w:rPr>
        <w:t>个月之日（含）止的期间</w:t>
      </w:r>
      <w:bookmarkEnd w:id="111"/>
      <w:r>
        <w:rPr>
          <w:rFonts w:ascii="Times New Roman" w:eastAsia="宋体" w:hAnsi="Times New Roman" w:hint="eastAsia"/>
          <w:color w:val="000000" w:themeColor="text1"/>
          <w:sz w:val="24"/>
          <w:szCs w:val="24"/>
        </w:rPr>
        <w:t>。除受托人设立临时开放日接受委托人赎回信托单位的申请的情形外，受益人所持有的信托单位于</w:t>
      </w:r>
      <w:bookmarkStart w:id="112" w:name="_Hlk91086912"/>
      <w:r>
        <w:rPr>
          <w:rFonts w:ascii="Times New Roman" w:eastAsia="宋体" w:hAnsi="Times New Roman" w:hint="eastAsia"/>
          <w:color w:val="000000" w:themeColor="text1"/>
          <w:sz w:val="24"/>
          <w:szCs w:val="24"/>
        </w:rPr>
        <w:t>该等信托单位所对应的</w:t>
      </w:r>
      <w:bookmarkEnd w:id="112"/>
      <w:r>
        <w:rPr>
          <w:rFonts w:ascii="Times New Roman" w:eastAsia="宋体" w:hAnsi="Times New Roman" w:hint="eastAsia"/>
          <w:color w:val="000000" w:themeColor="text1"/>
          <w:sz w:val="24"/>
          <w:szCs w:val="24"/>
        </w:rPr>
        <w:t>固定开放日全部自动赎回，受益人无须主动申请赎回。信托计划成立后，受托人有权设立临时开放日接受委托人赎回信托单位的申请，临时开放日及届时实施的</w:t>
      </w:r>
      <w:r>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赎回方案具体以受托人在其官方网站向投资者披露的为准</w:t>
      </w:r>
      <w:bookmarkEnd w:id="110"/>
      <w:r>
        <w:rPr>
          <w:rFonts w:ascii="Times New Roman" w:eastAsia="宋体" w:hAnsi="Times New Roman" w:hint="eastAsia"/>
          <w:color w:val="000000" w:themeColor="text1"/>
          <w:sz w:val="24"/>
          <w:szCs w:val="24"/>
        </w:rPr>
        <w:t>。</w:t>
      </w:r>
    </w:p>
    <w:p w:rsidR="00066166" w:rsidRDefault="00F62BD0">
      <w:pPr>
        <w:pStyle w:val="2"/>
        <w:keepNext w:val="0"/>
        <w:keepLines w:val="0"/>
        <w:tabs>
          <w:tab w:val="left" w:pos="720"/>
        </w:tabs>
        <w:spacing w:beforeLines="100" w:before="312" w:afterLines="100" w:after="312" w:line="300" w:lineRule="auto"/>
        <w:ind w:left="720" w:hanging="720"/>
        <w:rPr>
          <w:rFonts w:hAnsi="Times New Roman"/>
          <w:color w:val="000000" w:themeColor="text1"/>
          <w:szCs w:val="24"/>
        </w:rPr>
      </w:pPr>
      <w:r>
        <w:rPr>
          <w:rFonts w:ascii="Times New Roman" w:eastAsia="宋体" w:hAnsi="Times New Roman" w:hint="eastAsia"/>
          <w:color w:val="000000" w:themeColor="text1"/>
          <w:sz w:val="24"/>
          <w:szCs w:val="24"/>
        </w:rPr>
        <w:t>赎回费</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本信托计划不收取赎回费。</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赎回款项</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bookmarkStart w:id="113" w:name="_Hlk75981529"/>
      <w:bookmarkStart w:id="114" w:name="_Hlk22740298"/>
      <w:r>
        <w:rPr>
          <w:rFonts w:hAnsi="宋体"/>
          <w:color w:val="000000" w:themeColor="text1"/>
        </w:rPr>
        <w:t>保管人根据受托人出具的划款指令将赎回</w:t>
      </w:r>
      <w:r>
        <w:rPr>
          <w:rFonts w:hAnsi="宋体" w:hint="eastAsia"/>
          <w:color w:val="000000" w:themeColor="text1"/>
        </w:rPr>
        <w:t>款项（即赎回的</w:t>
      </w:r>
      <w:r>
        <w:rPr>
          <w:rFonts w:hAnsi="宋体"/>
          <w:color w:val="000000" w:themeColor="text1"/>
        </w:rPr>
        <w:t>信托单位可获分配的信托利益</w:t>
      </w:r>
      <w:r>
        <w:rPr>
          <w:rFonts w:hAnsi="宋体" w:hint="eastAsia"/>
          <w:color w:val="000000" w:themeColor="text1"/>
        </w:rPr>
        <w:t>，下同）</w:t>
      </w:r>
      <w:r>
        <w:rPr>
          <w:rFonts w:hAnsi="宋体"/>
          <w:color w:val="000000" w:themeColor="text1"/>
        </w:rPr>
        <w:t>向</w:t>
      </w:r>
      <w:r>
        <w:rPr>
          <w:rFonts w:hAnsi="宋体" w:hint="eastAsia"/>
          <w:color w:val="000000" w:themeColor="text1"/>
          <w:lang w:eastAsia="zh-Hans"/>
        </w:rPr>
        <w:t>委托</w:t>
      </w:r>
      <w:r>
        <w:rPr>
          <w:rFonts w:hAnsi="宋体"/>
          <w:color w:val="000000" w:themeColor="text1"/>
        </w:rPr>
        <w:t>人信托利益分配账户划付</w:t>
      </w:r>
      <w:r>
        <w:rPr>
          <w:rFonts w:hAnsi="宋体" w:hint="eastAsia"/>
          <w:color w:val="000000" w:themeColor="text1"/>
        </w:rPr>
        <w:t>或根据相关协议向代销机构预留用于分配信托利益的银行账户划拨。赎回款项于本次赎回的开放日后的</w:t>
      </w:r>
      <w:r>
        <w:rPr>
          <w:rFonts w:hAnsi="宋体"/>
          <w:color w:val="000000" w:themeColor="text1"/>
        </w:rPr>
        <w:t>10</w:t>
      </w:r>
      <w:r>
        <w:rPr>
          <w:rFonts w:hAnsi="宋体" w:hint="eastAsia"/>
          <w:color w:val="000000" w:themeColor="text1"/>
        </w:rPr>
        <w:t>个工作日内向受益人信托利益分配账户划付或根据相关协议向代销机构预留用于分配信托利益的银行账户划拨，如标的资管产品赎回款到账时间延迟，则向受益人支付的赎回款或根据相关协议向代销机构预留用于分配信托利益的银行账户划拨相应顺延。</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赎回</w:t>
      </w:r>
      <w:r>
        <w:rPr>
          <w:rFonts w:hAnsi="宋体" w:hint="eastAsia"/>
          <w:color w:val="000000" w:themeColor="text1"/>
        </w:rPr>
        <w:t>款项</w:t>
      </w:r>
      <w:r>
        <w:rPr>
          <w:rFonts w:hAnsi="宋体"/>
          <w:color w:val="000000" w:themeColor="text1"/>
        </w:rPr>
        <w:t>的计算公式为：</w:t>
      </w:r>
      <w:r>
        <w:rPr>
          <w:rFonts w:hAnsi="宋体" w:hint="eastAsia"/>
          <w:color w:val="000000" w:themeColor="text1"/>
        </w:rPr>
        <w:t>就某一受益人赎回的信托单位而言，</w:t>
      </w:r>
      <w:r>
        <w:rPr>
          <w:rFonts w:hAnsi="宋体"/>
          <w:color w:val="000000" w:themeColor="text1"/>
        </w:rPr>
        <w:t>赎回</w:t>
      </w:r>
      <w:r>
        <w:rPr>
          <w:rFonts w:hAnsi="宋体" w:hint="eastAsia"/>
          <w:color w:val="000000" w:themeColor="text1"/>
        </w:rPr>
        <w:t>款项</w:t>
      </w:r>
      <w:r>
        <w:rPr>
          <w:rFonts w:hAnsi="宋体"/>
          <w:color w:val="000000" w:themeColor="text1"/>
        </w:rPr>
        <w:t>=</w:t>
      </w:r>
      <w:r>
        <w:rPr>
          <w:rFonts w:hAnsi="宋体"/>
          <w:color w:val="000000" w:themeColor="text1"/>
        </w:rPr>
        <w:t>受托人确认受益人赎回</w:t>
      </w:r>
      <w:r>
        <w:rPr>
          <w:rFonts w:hAnsi="宋体" w:hint="eastAsia"/>
          <w:color w:val="000000" w:themeColor="text1"/>
        </w:rPr>
        <w:t>的</w:t>
      </w:r>
      <w:r>
        <w:rPr>
          <w:rFonts w:hAnsi="宋体"/>
          <w:color w:val="000000" w:themeColor="text1"/>
        </w:rPr>
        <w:t>信托单位份数</w:t>
      </w:r>
      <w:r>
        <w:rPr>
          <w:rFonts w:hAnsi="宋体"/>
          <w:color w:val="000000" w:themeColor="text1"/>
        </w:rPr>
        <w:t>×</w:t>
      </w:r>
      <w:r>
        <w:rPr>
          <w:rFonts w:hAnsi="宋体" w:hint="eastAsia"/>
          <w:color w:val="000000" w:themeColor="text1"/>
        </w:rPr>
        <w:t>开放日当日信托单位净值－赎回信托单位对应的浮动代理推介费</w:t>
      </w:r>
      <w:r>
        <w:rPr>
          <w:rFonts w:hAnsi="宋体"/>
          <w:color w:val="000000" w:themeColor="text1"/>
        </w:rPr>
        <w:t>。</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赎回款项的计算保留到小数点后</w:t>
      </w:r>
      <w:r>
        <w:rPr>
          <w:rFonts w:hAnsi="宋体"/>
          <w:color w:val="000000" w:themeColor="text1"/>
        </w:rPr>
        <w:t>2</w:t>
      </w:r>
      <w:r>
        <w:rPr>
          <w:rFonts w:hAnsi="宋体" w:hint="eastAsia"/>
          <w:color w:val="000000" w:themeColor="text1"/>
        </w:rPr>
        <w:t>位，</w:t>
      </w:r>
      <w:r>
        <w:rPr>
          <w:rFonts w:hAnsi="宋体" w:hint="eastAsia"/>
          <w:color w:val="000000" w:themeColor="text1"/>
        </w:rPr>
        <w:t>小数点</w:t>
      </w:r>
      <w:r>
        <w:rPr>
          <w:rFonts w:hAnsi="宋体"/>
          <w:color w:val="000000" w:themeColor="text1"/>
        </w:rPr>
        <w:t>2</w:t>
      </w:r>
      <w:r>
        <w:rPr>
          <w:rFonts w:hAnsi="宋体" w:hint="eastAsia"/>
          <w:color w:val="000000" w:themeColor="text1"/>
        </w:rPr>
        <w:t>位以后的部分四舍五入，</w:t>
      </w:r>
      <w:r>
        <w:rPr>
          <w:rFonts w:hAnsi="宋体" w:hint="eastAsia"/>
          <w:color w:val="000000" w:themeColor="text1"/>
        </w:rPr>
        <w:lastRenderedPageBreak/>
        <w:t>由此产生的损益归入信托财产</w:t>
      </w:r>
      <w:bookmarkEnd w:id="113"/>
      <w:r>
        <w:rPr>
          <w:rFonts w:hAnsi="宋体" w:hint="eastAsia"/>
          <w:color w:val="000000" w:themeColor="text1"/>
        </w:rPr>
        <w:t>。</w:t>
      </w:r>
      <w:bookmarkEnd w:id="114"/>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巨额赎回</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color w:val="000000" w:themeColor="text1"/>
        </w:rPr>
        <w:t xml:space="preserve"> </w:t>
      </w:r>
      <w:r>
        <w:rPr>
          <w:rFonts w:hAnsi="宋体" w:hint="eastAsia"/>
          <w:color w:val="000000" w:themeColor="text1"/>
        </w:rPr>
        <w:t>巨额赎回的认定</w:t>
      </w:r>
    </w:p>
    <w:p w:rsidR="00066166" w:rsidRDefault="00F62BD0">
      <w:pPr>
        <w:pStyle w:val="NormalJustified"/>
        <w:widowControl w:val="0"/>
        <w:spacing w:beforeLines="100" w:before="312" w:afterLines="100" w:after="312" w:line="300" w:lineRule="auto"/>
        <w:ind w:left="720"/>
        <w:rPr>
          <w:rFonts w:hAnsi="宋体"/>
          <w:color w:val="000000" w:themeColor="text1"/>
        </w:rPr>
      </w:pPr>
      <w:bookmarkStart w:id="115" w:name="_Hlk75981549"/>
      <w:r>
        <w:rPr>
          <w:rFonts w:hAnsi="宋体" w:hint="eastAsia"/>
          <w:color w:val="000000" w:themeColor="text1"/>
        </w:rPr>
        <w:t>若本信托计划单个开放日，净赎回份数（自动赎回及申请赎回的信托单位总份数－申请申购的信托单位总份数）超过前一自然日信托单位总份数的</w:t>
      </w:r>
      <w:r>
        <w:rPr>
          <w:rFonts w:hAnsi="宋体"/>
          <w:color w:val="000000" w:themeColor="text1"/>
        </w:rPr>
        <w:t>10%</w:t>
      </w:r>
      <w:r>
        <w:rPr>
          <w:rFonts w:hAnsi="宋体" w:hint="eastAsia"/>
          <w:color w:val="000000" w:themeColor="text1"/>
        </w:rPr>
        <w:t>时，</w:t>
      </w:r>
      <w:r>
        <w:rPr>
          <w:rFonts w:hAnsi="宋体" w:hint="eastAsia"/>
          <w:color w:val="000000"/>
          <w:lang w:eastAsia="zh-Hans"/>
        </w:rPr>
        <w:t>或者标的资管产品触发巨额赎回的</w:t>
      </w:r>
      <w:r>
        <w:rPr>
          <w:rFonts w:hAnsi="宋体"/>
          <w:color w:val="000000"/>
          <w:lang w:eastAsia="zh-Hans"/>
        </w:rPr>
        <w:t>，</w:t>
      </w:r>
      <w:r>
        <w:rPr>
          <w:rFonts w:hAnsi="宋体" w:hint="eastAsia"/>
          <w:color w:val="000000" w:themeColor="text1"/>
        </w:rPr>
        <w:t>即认为发生了巨额赎回</w:t>
      </w:r>
      <w:bookmarkEnd w:id="115"/>
      <w:r>
        <w:rPr>
          <w:rFonts w:hAnsi="宋体"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hint="eastAsia"/>
          <w:color w:val="000000" w:themeColor="text1"/>
        </w:rPr>
        <w:t>巨额赎回的处理方式</w:t>
      </w:r>
    </w:p>
    <w:p w:rsidR="00066166" w:rsidRDefault="00F62BD0">
      <w:pPr>
        <w:pStyle w:val="NormalJustified"/>
        <w:widowControl w:val="0"/>
        <w:spacing w:beforeLines="100" w:before="312" w:afterLines="100" w:after="312" w:line="300" w:lineRule="auto"/>
        <w:ind w:leftChars="300" w:left="630"/>
        <w:rPr>
          <w:rFonts w:hAnsi="宋体"/>
          <w:color w:val="000000" w:themeColor="text1"/>
        </w:rPr>
      </w:pPr>
      <w:r>
        <w:rPr>
          <w:rFonts w:hAnsi="宋体"/>
          <w:color w:val="000000" w:themeColor="text1"/>
        </w:rPr>
        <w:t>发生巨额赎回时，受托人有权根据该</w:t>
      </w:r>
      <w:r>
        <w:rPr>
          <w:rFonts w:hAnsi="宋体" w:hint="eastAsia"/>
          <w:color w:val="000000" w:themeColor="text1"/>
        </w:rPr>
        <w:t>开放日</w:t>
      </w:r>
      <w:r>
        <w:rPr>
          <w:rFonts w:hAnsi="宋体"/>
          <w:color w:val="000000" w:themeColor="text1"/>
        </w:rPr>
        <w:t>信托计划的资产组合状况选择采取如下处理方式中的一种：</w:t>
      </w:r>
    </w:p>
    <w:p w:rsidR="00066166" w:rsidRDefault="00F62BD0">
      <w:pPr>
        <w:pStyle w:val="NormalJustified"/>
        <w:widowControl w:val="0"/>
        <w:spacing w:beforeLines="100" w:before="312" w:afterLines="100" w:after="312" w:line="300" w:lineRule="auto"/>
        <w:ind w:leftChars="300" w:left="630"/>
        <w:rPr>
          <w:rFonts w:hAnsi="宋体"/>
          <w:color w:val="000000" w:themeColor="text1"/>
        </w:rPr>
      </w:pPr>
      <w:r>
        <w:rPr>
          <w:rFonts w:hAnsi="宋体"/>
          <w:b/>
          <w:bCs/>
          <w:color w:val="000000" w:themeColor="text1"/>
        </w:rPr>
        <w:t>1</w:t>
      </w:r>
      <w:r>
        <w:rPr>
          <w:rFonts w:hAnsi="宋体" w:hint="eastAsia"/>
          <w:b/>
          <w:bCs/>
          <w:color w:val="000000" w:themeColor="text1"/>
        </w:rPr>
        <w:t>）</w:t>
      </w:r>
      <w:r>
        <w:rPr>
          <w:rFonts w:hAnsi="宋体"/>
          <w:b/>
          <w:bCs/>
          <w:color w:val="000000" w:themeColor="text1"/>
        </w:rPr>
        <w:t>全部赎回：</w:t>
      </w:r>
      <w:r>
        <w:rPr>
          <w:rFonts w:hAnsi="宋体"/>
          <w:color w:val="000000" w:themeColor="text1"/>
        </w:rPr>
        <w:t>当受托人认为有能力支付</w:t>
      </w:r>
      <w:r>
        <w:rPr>
          <w:rFonts w:hAnsi="宋体" w:hint="eastAsia"/>
          <w:color w:val="000000" w:themeColor="text1"/>
        </w:rPr>
        <w:t>全部赎回款项，且该等支付不会导致其他委托人</w:t>
      </w:r>
      <w:r>
        <w:rPr>
          <w:rFonts w:hAnsi="宋体" w:hint="eastAsia"/>
          <w:color w:val="000000" w:themeColor="text1"/>
        </w:rPr>
        <w:t>/</w:t>
      </w:r>
      <w:r>
        <w:rPr>
          <w:rFonts w:hAnsi="宋体" w:hint="eastAsia"/>
          <w:color w:val="000000" w:themeColor="text1"/>
        </w:rPr>
        <w:t>受益人利益受损时</w:t>
      </w:r>
      <w:r>
        <w:rPr>
          <w:rFonts w:hAnsi="宋体"/>
          <w:color w:val="000000" w:themeColor="text1"/>
        </w:rPr>
        <w:t>，按正常赎回程序执行；</w:t>
      </w:r>
    </w:p>
    <w:p w:rsidR="00066166" w:rsidRDefault="00F62BD0">
      <w:pPr>
        <w:pStyle w:val="NormalJustified"/>
        <w:widowControl w:val="0"/>
        <w:spacing w:beforeLines="100" w:before="312" w:afterLines="100" w:after="312" w:line="300" w:lineRule="auto"/>
        <w:ind w:leftChars="300" w:left="630"/>
        <w:rPr>
          <w:rFonts w:hAnsi="宋体"/>
          <w:color w:val="000000" w:themeColor="text1"/>
        </w:rPr>
      </w:pPr>
      <w:r>
        <w:rPr>
          <w:rFonts w:hAnsi="宋体"/>
          <w:color w:val="000000" w:themeColor="text1"/>
        </w:rPr>
        <w:t>2</w:t>
      </w:r>
      <w:r>
        <w:rPr>
          <w:rFonts w:hAnsi="宋体" w:hint="eastAsia"/>
          <w:color w:val="000000" w:themeColor="text1"/>
        </w:rPr>
        <w:t>）</w:t>
      </w:r>
      <w:r>
        <w:rPr>
          <w:rFonts w:hAnsi="宋体"/>
          <w:b/>
          <w:bCs/>
          <w:color w:val="000000" w:themeColor="text1"/>
        </w:rPr>
        <w:t>部分</w:t>
      </w:r>
      <w:r>
        <w:rPr>
          <w:rFonts w:hAnsi="宋体" w:hint="eastAsia"/>
          <w:b/>
          <w:bCs/>
          <w:color w:val="000000" w:themeColor="text1"/>
        </w:rPr>
        <w:t>延期</w:t>
      </w:r>
      <w:r>
        <w:rPr>
          <w:rFonts w:hAnsi="宋体"/>
          <w:b/>
          <w:bCs/>
          <w:color w:val="000000" w:themeColor="text1"/>
        </w:rPr>
        <w:t>赎回：</w:t>
      </w:r>
      <w:r>
        <w:rPr>
          <w:rFonts w:hAnsi="宋体" w:hint="eastAsia"/>
          <w:color w:val="000000" w:themeColor="text1"/>
        </w:rPr>
        <w:t>当</w:t>
      </w:r>
      <w:bookmarkStart w:id="116" w:name="_Hlk75981567"/>
      <w:r>
        <w:rPr>
          <w:rFonts w:hAnsi="宋体" w:hint="eastAsia"/>
          <w:color w:val="000000" w:themeColor="text1"/>
        </w:rPr>
        <w:t>受托人认为支付</w:t>
      </w:r>
      <w:r>
        <w:rPr>
          <w:rFonts w:hAnsi="宋体" w:hint="eastAsia"/>
          <w:color w:val="000000" w:themeColor="text1"/>
          <w:lang w:eastAsia="zh-Hans"/>
        </w:rPr>
        <w:t>委托</w:t>
      </w:r>
      <w:r>
        <w:rPr>
          <w:rFonts w:hAnsi="宋体"/>
          <w:color w:val="000000" w:themeColor="text1"/>
        </w:rPr>
        <w:t>人</w:t>
      </w:r>
      <w:r>
        <w:rPr>
          <w:rFonts w:hAnsi="宋体" w:hint="eastAsia"/>
          <w:color w:val="000000" w:themeColor="text1"/>
        </w:rPr>
        <w:t>的赎回款项有困难或认为因支付</w:t>
      </w:r>
      <w:r>
        <w:rPr>
          <w:rFonts w:hAnsi="宋体" w:hint="eastAsia"/>
          <w:color w:val="000000" w:themeColor="text1"/>
          <w:lang w:eastAsia="zh-Hans"/>
        </w:rPr>
        <w:t>委托</w:t>
      </w:r>
      <w:r>
        <w:rPr>
          <w:rFonts w:hAnsi="宋体"/>
          <w:color w:val="000000" w:themeColor="text1"/>
        </w:rPr>
        <w:t>人</w:t>
      </w:r>
      <w:r>
        <w:rPr>
          <w:rFonts w:hAnsi="宋体" w:hint="eastAsia"/>
          <w:color w:val="000000" w:themeColor="text1"/>
        </w:rPr>
        <w:t>的赎回款项而进行的财产变现可能会对本信托计划信托财产净值造成较大波动时，受托人有权在当日按某一委托人所持有的信托单位份数占信托单位总份数的比例，确定该单个</w:t>
      </w:r>
      <w:r>
        <w:rPr>
          <w:rFonts w:hAnsi="宋体" w:hint="eastAsia"/>
          <w:color w:val="000000" w:themeColor="text1"/>
          <w:lang w:eastAsia="zh-Hans"/>
        </w:rPr>
        <w:t>委托</w:t>
      </w:r>
      <w:r>
        <w:rPr>
          <w:rFonts w:hAnsi="宋体" w:hint="eastAsia"/>
          <w:color w:val="000000" w:themeColor="text1"/>
        </w:rPr>
        <w:t>人当日</w:t>
      </w:r>
      <w:r>
        <w:rPr>
          <w:rFonts w:hAnsi="宋体" w:hint="eastAsia"/>
          <w:color w:val="000000" w:themeColor="text1"/>
          <w:lang w:eastAsia="zh-Hans"/>
        </w:rPr>
        <w:t>可</w:t>
      </w:r>
      <w:r>
        <w:rPr>
          <w:rFonts w:hAnsi="宋体" w:hint="eastAsia"/>
          <w:color w:val="000000" w:themeColor="text1"/>
        </w:rPr>
        <w:t>赎回</w:t>
      </w:r>
      <w:r>
        <w:rPr>
          <w:rFonts w:hAnsi="宋体" w:hint="eastAsia"/>
          <w:color w:val="000000" w:themeColor="text1"/>
          <w:lang w:eastAsia="zh-Hans"/>
        </w:rPr>
        <w:t>的</w:t>
      </w:r>
      <w:r>
        <w:rPr>
          <w:rFonts w:hAnsi="宋体" w:hint="eastAsia"/>
          <w:color w:val="000000" w:themeColor="text1"/>
        </w:rPr>
        <w:t>份数，赎回款项的计算同本合同第</w:t>
      </w:r>
      <w:r>
        <w:rPr>
          <w:rFonts w:hAnsi="宋体"/>
          <w:color w:val="000000" w:themeColor="text1"/>
        </w:rPr>
        <w:t>7.3</w:t>
      </w:r>
      <w:r>
        <w:rPr>
          <w:rFonts w:hAnsi="宋体" w:hint="eastAsia"/>
          <w:color w:val="000000" w:themeColor="text1"/>
        </w:rPr>
        <w:t>条的约定；对于未能赎回部分，于下个开放日与下一开放日赎回的信托单位一并处理，无优先权，以此类推，直到全部赎回为止</w:t>
      </w:r>
      <w:bookmarkEnd w:id="116"/>
      <w:r>
        <w:rPr>
          <w:rFonts w:hAnsi="宋体" w:hint="eastAsia"/>
          <w:color w:val="000000" w:themeColor="text1"/>
        </w:rPr>
        <w:t>。</w:t>
      </w:r>
    </w:p>
    <w:p w:rsidR="00066166" w:rsidRDefault="00F62BD0">
      <w:pPr>
        <w:pStyle w:val="NormalJustified"/>
        <w:widowControl w:val="0"/>
        <w:spacing w:beforeLines="100" w:before="312" w:afterLines="100" w:after="312" w:line="300" w:lineRule="auto"/>
        <w:ind w:leftChars="300" w:left="630"/>
        <w:rPr>
          <w:rFonts w:hAnsi="宋体"/>
          <w:color w:val="000000" w:themeColor="text1"/>
        </w:rPr>
      </w:pPr>
      <w:r>
        <w:rPr>
          <w:rFonts w:hAnsi="宋体" w:hint="eastAsia"/>
          <w:color w:val="000000" w:themeColor="text1"/>
        </w:rPr>
        <w:t>3</w:t>
      </w:r>
      <w:r>
        <w:rPr>
          <w:rFonts w:hAnsi="宋体" w:hint="eastAsia"/>
          <w:color w:val="000000" w:themeColor="text1"/>
        </w:rPr>
        <w:t>）</w:t>
      </w:r>
      <w:r>
        <w:rPr>
          <w:rFonts w:hAnsi="宋体"/>
          <w:b/>
          <w:bCs/>
          <w:color w:val="000000" w:themeColor="text1"/>
        </w:rPr>
        <w:t>暂停赎回：</w:t>
      </w:r>
      <w:bookmarkStart w:id="117" w:name="_Hlk75981581"/>
      <w:r>
        <w:rPr>
          <w:rFonts w:hAnsi="宋体" w:hint="eastAsia"/>
          <w:color w:val="000000" w:themeColor="text1"/>
        </w:rPr>
        <w:t>连续【</w:t>
      </w:r>
      <w:r>
        <w:rPr>
          <w:rFonts w:hAnsi="宋体" w:hint="eastAsia"/>
          <w:color w:val="000000" w:themeColor="text1"/>
        </w:rPr>
        <w:t>2</w:t>
      </w:r>
      <w:r>
        <w:rPr>
          <w:rFonts w:hAnsi="宋体" w:hint="eastAsia"/>
          <w:color w:val="000000" w:themeColor="text1"/>
        </w:rPr>
        <w:t>】个以上（含本数）开放日发生巨额赎回，如受托人认为有必要，可暂停赎回</w:t>
      </w:r>
      <w:bookmarkEnd w:id="117"/>
      <w:r>
        <w:rPr>
          <w:rFonts w:hAnsi="宋体"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color w:val="000000" w:themeColor="text1"/>
        </w:rPr>
        <w:t xml:space="preserve"> </w:t>
      </w:r>
      <w:r>
        <w:rPr>
          <w:rFonts w:hAnsi="宋体" w:hint="eastAsia"/>
          <w:color w:val="000000" w:themeColor="text1"/>
        </w:rPr>
        <w:t>巨额赎回的通知</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发生巨额赎回</w:t>
      </w:r>
      <w:r>
        <w:rPr>
          <w:rFonts w:hAnsi="宋体" w:hint="eastAsia"/>
          <w:color w:val="000000" w:themeColor="text1"/>
        </w:rPr>
        <w:t>且受托人拟采用部分延期赎回方式，或发生连续巨额赎回情形</w:t>
      </w:r>
      <w:r>
        <w:rPr>
          <w:rFonts w:hAnsi="宋体"/>
          <w:color w:val="000000" w:themeColor="text1"/>
        </w:rPr>
        <w:t>时，</w:t>
      </w:r>
      <w:r>
        <w:rPr>
          <w:rFonts w:hAnsi="宋体" w:hint="eastAsia"/>
          <w:color w:val="000000" w:themeColor="text1"/>
        </w:rPr>
        <w:t>受托人可选择通过本合同第</w:t>
      </w:r>
      <w:r>
        <w:rPr>
          <w:rFonts w:hAnsi="宋体"/>
          <w:color w:val="000000" w:themeColor="text1"/>
        </w:rPr>
        <w:t>18.1</w:t>
      </w:r>
      <w:r>
        <w:rPr>
          <w:rFonts w:hAnsi="宋体" w:hint="eastAsia"/>
          <w:color w:val="000000" w:themeColor="text1"/>
        </w:rPr>
        <w:t>条约定的任一披露方式向相应的受益人披露并说明有关处理方法。</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其他</w:t>
      </w:r>
      <w:bookmarkStart w:id="118" w:name="_Hlk59022911"/>
      <w:r>
        <w:rPr>
          <w:rFonts w:ascii="Times New Roman" w:eastAsia="宋体" w:hAnsi="Times New Roman" w:hint="eastAsia"/>
          <w:color w:val="000000" w:themeColor="text1"/>
          <w:sz w:val="24"/>
          <w:szCs w:val="24"/>
        </w:rPr>
        <w:t>暂停或延期赎回情形</w:t>
      </w:r>
      <w:bookmarkEnd w:id="118"/>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发生下列情形时，</w:t>
      </w:r>
      <w:bookmarkStart w:id="119" w:name="_Hlk75981621"/>
      <w:r>
        <w:rPr>
          <w:rFonts w:hAnsi="宋体" w:hint="eastAsia"/>
          <w:color w:val="000000" w:themeColor="text1"/>
        </w:rPr>
        <w:t>受托人可以暂停赎回或延缓支付赎回款项并由受托人根</w:t>
      </w:r>
      <w:r>
        <w:rPr>
          <w:rFonts w:hAnsi="宋体" w:hint="eastAsia"/>
          <w:color w:val="000000" w:themeColor="text1"/>
        </w:rPr>
        <w:lastRenderedPageBreak/>
        <w:t>据本合同第</w:t>
      </w:r>
      <w:r>
        <w:t>18.1</w:t>
      </w:r>
      <w:r>
        <w:rPr>
          <w:rFonts w:hAnsi="宋体" w:hint="eastAsia"/>
          <w:color w:val="000000" w:themeColor="text1"/>
        </w:rPr>
        <w:t>条约定的任一披露方式予以披露</w:t>
      </w:r>
      <w:bookmarkEnd w:id="119"/>
      <w:r>
        <w:rPr>
          <w:rFonts w:hAnsi="宋体" w:hint="eastAsia"/>
          <w:color w:val="000000" w:themeColor="text1"/>
        </w:rPr>
        <w:t>：</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因不可抗力导致受托人不能支付赎回款项；</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发生信托文件约定的暂停信托财产估值情形；</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证券交易所交易时间非正常停市，导致受托人无法计算当个开放日信托财产净值；</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当个开放日赎回</w:t>
      </w:r>
      <w:bookmarkStart w:id="120" w:name="_Hlk75981639"/>
      <w:r>
        <w:rPr>
          <w:rFonts w:hAnsi="宋体" w:hint="eastAsia"/>
          <w:color w:val="000000" w:themeColor="text1"/>
        </w:rPr>
        <w:t>信托单位份数</w:t>
      </w:r>
      <w:bookmarkEnd w:id="120"/>
      <w:r>
        <w:rPr>
          <w:rFonts w:hAnsi="宋体" w:hint="eastAsia"/>
          <w:color w:val="000000" w:themeColor="text1"/>
        </w:rPr>
        <w:t>达到受托人设定的数额限制；</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信托财产无法及时变现，或者其他原因导致可供赎回的现金资产不足；</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遵循受益人利益优先原则，发生损害受益人利益的情形时，可暂停赎回；</w:t>
      </w:r>
    </w:p>
    <w:p w:rsidR="00066166" w:rsidRDefault="00F62BD0">
      <w:pPr>
        <w:pStyle w:val="NormalJustified"/>
        <w:widowControl w:val="0"/>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受托人认为需要暂停或延期赎回的其他情形；</w:t>
      </w:r>
    </w:p>
    <w:p w:rsidR="00066166" w:rsidRDefault="00F62BD0">
      <w:pPr>
        <w:pStyle w:val="NormalJustified"/>
        <w:numPr>
          <w:ilvl w:val="0"/>
          <w:numId w:val="11"/>
        </w:numPr>
        <w:spacing w:beforeLines="100" w:before="312" w:afterLines="100" w:after="312" w:line="300" w:lineRule="auto"/>
        <w:rPr>
          <w:rFonts w:hAnsi="宋体"/>
          <w:color w:val="000000" w:themeColor="text1"/>
        </w:rPr>
      </w:pPr>
      <w:r>
        <w:rPr>
          <w:rFonts w:hAnsi="宋体" w:hint="eastAsia"/>
          <w:color w:val="000000" w:themeColor="text1"/>
        </w:rPr>
        <w:t>法律法规、信托文件或监管机构规定的其他情形。</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发生上述情形之一而受托人</w:t>
      </w:r>
      <w:bookmarkStart w:id="121" w:name="_Hlk75981670"/>
      <w:r>
        <w:rPr>
          <w:rFonts w:hAnsi="宋体" w:hint="eastAsia"/>
          <w:color w:val="000000" w:themeColor="text1"/>
        </w:rPr>
        <w:t>决定暂停赎回或者延缓支付赎回款项</w:t>
      </w:r>
      <w:bookmarkEnd w:id="121"/>
      <w:r>
        <w:rPr>
          <w:rFonts w:hAnsi="宋体" w:hint="eastAsia"/>
          <w:color w:val="000000" w:themeColor="text1"/>
        </w:rPr>
        <w:t>时，受托人应</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条约定的任一披露方式向</w:t>
      </w:r>
      <w:r>
        <w:rPr>
          <w:rFonts w:hAnsi="宋体" w:hint="eastAsia"/>
          <w:color w:val="000000" w:themeColor="text1"/>
        </w:rPr>
        <w:t>相应的受益人披露并说明有关处理方法。在暂停赎回的情况消除时，受托人有权通过设置临时开放日及时</w:t>
      </w:r>
      <w:bookmarkStart w:id="122" w:name="_Hlk59022901"/>
      <w:r>
        <w:rPr>
          <w:rFonts w:hAnsi="宋体" w:hint="eastAsia"/>
          <w:color w:val="000000" w:themeColor="text1"/>
        </w:rPr>
        <w:t>恢复赎回业务的办理</w:t>
      </w:r>
      <w:bookmarkEnd w:id="122"/>
      <w:r>
        <w:rPr>
          <w:rFonts w:hAnsi="宋体" w:hint="eastAsia"/>
          <w:color w:val="000000" w:themeColor="text1"/>
        </w:rPr>
        <w:t>并</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条约定的任一披露方式向</w:t>
      </w:r>
      <w:r>
        <w:rPr>
          <w:rFonts w:hAnsi="宋体" w:hint="eastAsia"/>
          <w:color w:val="000000" w:themeColor="text1"/>
        </w:rPr>
        <w:t>相应的受益人披露。</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如未构成巨额赎回情形但届时现金形式的信托财产不能足额支付全部赎回款项的，则受托人以届时现金形式的信托财产为限，按受托人已确认的</w:t>
      </w:r>
      <w:bookmarkStart w:id="123" w:name="_Hlk43839701"/>
      <w:r>
        <w:rPr>
          <w:rFonts w:hAnsi="宋体" w:hint="eastAsia"/>
          <w:color w:val="000000" w:themeColor="text1"/>
        </w:rPr>
        <w:t>单个受益人</w:t>
      </w:r>
      <w:bookmarkEnd w:id="123"/>
      <w:r>
        <w:rPr>
          <w:rFonts w:hAnsi="宋体" w:hint="eastAsia"/>
          <w:color w:val="000000" w:themeColor="text1"/>
        </w:rPr>
        <w:t>赎回的信托单位份数占</w:t>
      </w:r>
      <w:r>
        <w:rPr>
          <w:color w:val="000000" w:themeColor="text1"/>
        </w:rPr>
        <w:t>受托人已确认</w:t>
      </w:r>
      <w:r>
        <w:rPr>
          <w:rFonts w:hint="eastAsia"/>
          <w:color w:val="000000" w:themeColor="text1"/>
        </w:rPr>
        <w:t>的</w:t>
      </w:r>
      <w:r>
        <w:rPr>
          <w:rFonts w:hAnsi="宋体" w:hint="eastAsia"/>
          <w:color w:val="000000" w:themeColor="text1"/>
        </w:rPr>
        <w:t>赎回信托单位总份数的比例</w:t>
      </w:r>
      <w:r>
        <w:rPr>
          <w:rFonts w:hAnsi="宋体" w:hint="eastAsia"/>
          <w:bCs/>
          <w:color w:val="000000" w:themeColor="text1"/>
        </w:rPr>
        <w:t>于该赎回开放日后</w:t>
      </w:r>
      <w:r>
        <w:rPr>
          <w:rFonts w:hAnsi="宋体"/>
          <w:bCs/>
          <w:color w:val="000000" w:themeColor="text1"/>
        </w:rPr>
        <w:t>10</w:t>
      </w:r>
      <w:r>
        <w:rPr>
          <w:rFonts w:hAnsi="宋体" w:hint="eastAsia"/>
          <w:bCs/>
          <w:color w:val="000000" w:themeColor="text1"/>
        </w:rPr>
        <w:t>个交易日内</w:t>
      </w:r>
      <w:r>
        <w:rPr>
          <w:rFonts w:hAnsi="宋体" w:hint="eastAsia"/>
          <w:color w:val="000000" w:themeColor="text1"/>
        </w:rPr>
        <w:t>分配给</w:t>
      </w:r>
      <w:bookmarkStart w:id="124" w:name="_Hlk75981685"/>
      <w:r>
        <w:rPr>
          <w:rFonts w:hAnsi="宋体" w:hint="eastAsia"/>
          <w:color w:val="000000" w:themeColor="text1"/>
        </w:rPr>
        <w:t>受益</w:t>
      </w:r>
      <w:bookmarkEnd w:id="124"/>
      <w:r>
        <w:rPr>
          <w:rFonts w:hAnsi="宋体" w:hint="eastAsia"/>
          <w:color w:val="000000" w:themeColor="text1"/>
        </w:rPr>
        <w:t>人，未支付部分可延期至现金形式的信托财产足以支付之日或信托财产全部变现之日（如有，且以先发生的情形为准）后</w:t>
      </w:r>
      <w:r>
        <w:rPr>
          <w:rFonts w:hAnsi="宋体"/>
          <w:color w:val="000000" w:themeColor="text1"/>
        </w:rPr>
        <w:t>10</w:t>
      </w:r>
      <w:r>
        <w:rPr>
          <w:rFonts w:hAnsi="宋体" w:hint="eastAsia"/>
          <w:color w:val="000000" w:themeColor="text1"/>
        </w:rPr>
        <w:t>个交易日内支付，但应当</w:t>
      </w:r>
      <w:r>
        <w:rPr>
          <w:rFonts w:hint="eastAsia"/>
          <w:color w:val="000000" w:themeColor="text1"/>
          <w:szCs w:val="24"/>
        </w:rPr>
        <w:t>通过本合同第</w:t>
      </w:r>
      <w:r>
        <w:rPr>
          <w:color w:val="000000" w:themeColor="text1"/>
          <w:szCs w:val="24"/>
        </w:rPr>
        <w:t>18.1</w:t>
      </w:r>
      <w:r>
        <w:rPr>
          <w:rFonts w:hint="eastAsia"/>
          <w:color w:val="000000" w:themeColor="text1"/>
          <w:szCs w:val="24"/>
        </w:rPr>
        <w:t>条约定的任一披露方式向</w:t>
      </w:r>
      <w:r>
        <w:rPr>
          <w:rFonts w:hAnsi="宋体" w:hint="eastAsia"/>
          <w:color w:val="000000" w:themeColor="text1"/>
        </w:rPr>
        <w:t>相应的受益人披露。各方确认在该种情况下，赎回款项的计算同</w:t>
      </w:r>
      <w:r>
        <w:rPr>
          <w:rFonts w:hAnsi="宋体" w:hint="eastAsia"/>
          <w:color w:val="000000" w:themeColor="text1"/>
        </w:rPr>
        <w:t>7</w:t>
      </w:r>
      <w:r>
        <w:rPr>
          <w:rFonts w:hAnsi="宋体"/>
          <w:color w:val="000000" w:themeColor="text1"/>
        </w:rPr>
        <w:t>.3</w:t>
      </w:r>
      <w:r>
        <w:rPr>
          <w:rFonts w:hAnsi="宋体" w:hint="eastAsia"/>
          <w:color w:val="000000" w:themeColor="text1"/>
        </w:rPr>
        <w:t>条的约定。在暂停或延期赎回的情况消除时，受托人应及时恢复赎回业务的办理并</w:t>
      </w:r>
      <w:r>
        <w:rPr>
          <w:rFonts w:hint="eastAsia"/>
          <w:color w:val="000000" w:themeColor="text1"/>
          <w:szCs w:val="24"/>
        </w:rPr>
        <w:t>通过本合同第</w:t>
      </w:r>
      <w:r>
        <w:rPr>
          <w:color w:val="000000" w:themeColor="text1"/>
          <w:szCs w:val="24"/>
        </w:rPr>
        <w:t>18.1</w:t>
      </w:r>
      <w:r>
        <w:rPr>
          <w:rFonts w:hint="eastAsia"/>
          <w:color w:val="000000" w:themeColor="text1"/>
          <w:szCs w:val="24"/>
        </w:rPr>
        <w:t>条约定的任一披露方式向</w:t>
      </w:r>
      <w:r>
        <w:rPr>
          <w:rFonts w:hAnsi="宋体" w:hint="eastAsia"/>
          <w:color w:val="000000" w:themeColor="text1"/>
        </w:rPr>
        <w:t>相应的受益人披露。</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强制赎回</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b/>
          <w:bCs/>
          <w:color w:val="000000" w:themeColor="text1"/>
        </w:rPr>
      </w:pPr>
      <w:r>
        <w:rPr>
          <w:rFonts w:hAnsi="宋体"/>
          <w:b/>
          <w:bCs/>
          <w:color w:val="000000" w:themeColor="text1"/>
        </w:rPr>
        <w:lastRenderedPageBreak/>
        <w:t xml:space="preserve"> </w:t>
      </w:r>
      <w:r>
        <w:rPr>
          <w:rFonts w:hAnsi="宋体" w:hint="eastAsia"/>
          <w:b/>
          <w:bCs/>
          <w:color w:val="000000" w:themeColor="text1"/>
        </w:rPr>
        <w:t>强制赎回情形</w:t>
      </w:r>
    </w:p>
    <w:p w:rsidR="00066166" w:rsidRDefault="00F62BD0">
      <w:pPr>
        <w:pStyle w:val="NormalJustified"/>
        <w:widowControl w:val="0"/>
        <w:tabs>
          <w:tab w:val="left" w:pos="2552"/>
        </w:tabs>
        <w:spacing w:beforeLines="100" w:before="312" w:afterLines="100" w:after="312" w:line="300" w:lineRule="auto"/>
        <w:ind w:left="720"/>
        <w:rPr>
          <w:rFonts w:hAnsi="宋体"/>
          <w:b/>
          <w:bCs/>
          <w:color w:val="000000" w:themeColor="text1"/>
        </w:rPr>
      </w:pPr>
      <w:r>
        <w:rPr>
          <w:rFonts w:hAnsi="宋体" w:hint="eastAsia"/>
          <w:b/>
          <w:bCs/>
          <w:color w:val="000000" w:themeColor="text1"/>
        </w:rPr>
        <w:t>出现下列任一情形的，受托人有权根据市场情况以及资产配置情况随时强制赎回全部或部分信托单位：</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法律法规、监管政策以及交易规则的变化，导致本信托计划的目的不能完全实现的；</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因不可抗力导致信托计划无法正常运作；</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因受托人营业场所、保管人等相关方的一方或多方技术保障或人员支持等不充分导致无法正常进行工作；</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信托财产规模过大，使受托人无法找到合适的投资品种，或其他可能对信托计划投资业绩产生负面影响，或受托人认定的其他损害现有受益人利益的情形；</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受托人有合理理由认为强制赎回信托单位将能更好维护受益人利益的；</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投资标的所涉交易主体违约、涉及重大诉讼、出现市场性风险等情形影响受益人信托利益实现的；</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标的资管产品发生投资目标、投资范围、运作方式等事项的重大调整的；</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其他受托人认为需要强制赎回的情形；</w:t>
      </w:r>
    </w:p>
    <w:p w:rsidR="00066166" w:rsidRDefault="00F62BD0">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法律法规、信托文件或监管机构规定的其他情形。</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hint="eastAsia"/>
          <w:color w:val="000000" w:themeColor="text1"/>
        </w:rPr>
        <w:t>强制赎回程序</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受托人应按照届时各受益人持有的信托单位份数占届时信托单位总份数的比例进行强制赎回，除另有约定外，</w:t>
      </w:r>
      <w:r>
        <w:rPr>
          <w:rFonts w:ascii="宋体" w:hAnsi="宋体" w:hint="eastAsia"/>
          <w:color w:val="000000" w:themeColor="text1"/>
          <w:szCs w:val="24"/>
        </w:rPr>
        <w:t>每一受益人可获分配的信托利益</w:t>
      </w:r>
      <w:r>
        <w:rPr>
          <w:rFonts w:ascii="宋体" w:hAnsi="宋体"/>
          <w:color w:val="000000" w:themeColor="text1"/>
          <w:szCs w:val="24"/>
        </w:rPr>
        <w:t>=</w:t>
      </w:r>
      <w:r>
        <w:rPr>
          <w:rFonts w:ascii="宋体" w:hAnsi="宋体"/>
          <w:color w:val="000000" w:themeColor="text1"/>
          <w:szCs w:val="24"/>
        </w:rPr>
        <w:t>该受益人赎回的信托单位份数</w:t>
      </w:r>
      <w:r>
        <w:rPr>
          <w:rFonts w:ascii="宋体" w:hAnsi="宋体"/>
          <w:color w:val="000000" w:themeColor="text1"/>
          <w:szCs w:val="24"/>
        </w:rPr>
        <w:t>×</w:t>
      </w:r>
      <w:r>
        <w:rPr>
          <w:rFonts w:ascii="宋体" w:hAnsi="宋体"/>
          <w:color w:val="000000" w:themeColor="text1"/>
          <w:szCs w:val="24"/>
        </w:rPr>
        <w:t>强制赎回日的信托单位净值</w:t>
      </w:r>
      <w:r>
        <w:rPr>
          <w:rFonts w:ascii="宋体" w:hAnsi="宋体" w:hint="eastAsia"/>
          <w:color w:val="000000" w:themeColor="text1"/>
          <w:szCs w:val="24"/>
        </w:rPr>
        <w:t>-</w:t>
      </w:r>
      <w:r>
        <w:rPr>
          <w:rFonts w:ascii="宋体" w:hAnsi="宋体" w:hint="eastAsia"/>
          <w:color w:val="000000" w:themeColor="text1"/>
          <w:szCs w:val="24"/>
        </w:rPr>
        <w:t>强制赎回的信托单位对应的浮动代理推介费（如有），具体以受托人届时的披露为准。</w:t>
      </w:r>
      <w:r>
        <w:rPr>
          <w:rFonts w:hAnsi="宋体" w:hint="eastAsia"/>
          <w:color w:val="000000" w:themeColor="text1"/>
        </w:rPr>
        <w:t>受托人决定强制赎回的，应于【强制赎回日的</w:t>
      </w:r>
      <w:r>
        <w:rPr>
          <w:rFonts w:hAnsi="宋体" w:hint="eastAsia"/>
          <w:color w:val="000000" w:themeColor="text1"/>
        </w:rPr>
        <w:t>5</w:t>
      </w:r>
      <w:r>
        <w:rPr>
          <w:rFonts w:hAnsi="宋体" w:hint="eastAsia"/>
          <w:color w:val="000000" w:themeColor="text1"/>
        </w:rPr>
        <w:t>个工作日前】披露强制赎回日、强制赎回方式、各受益人将被强制赎回信托单位份数、强制赎回的</w:t>
      </w:r>
      <w:r>
        <w:rPr>
          <w:rFonts w:hAnsi="宋体" w:hint="eastAsia"/>
          <w:color w:val="000000" w:themeColor="text1"/>
        </w:rPr>
        <w:lastRenderedPageBreak/>
        <w:t>信托单位对应的信托利益计算方法及受益人可获分配的信托利益、强制赎回的</w:t>
      </w:r>
      <w:r>
        <w:rPr>
          <w:rFonts w:hAnsi="宋体" w:hint="eastAsia"/>
          <w:color w:val="000000" w:themeColor="text1"/>
        </w:rPr>
        <w:t>信托单位对应的信托利益分配时点等信息，具体</w:t>
      </w:r>
      <w:r>
        <w:rPr>
          <w:rFonts w:hint="eastAsia"/>
          <w:color w:val="000000" w:themeColor="text1"/>
          <w:szCs w:val="24"/>
        </w:rPr>
        <w:t>以受托人通过本合同第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条约定的披露方式确认的结果</w:t>
      </w:r>
      <w:r>
        <w:rPr>
          <w:rFonts w:hint="eastAsia"/>
          <w:color w:val="000000" w:themeColor="text1"/>
        </w:rPr>
        <w:t>为准</w:t>
      </w:r>
      <w:r>
        <w:rPr>
          <w:rFonts w:hAnsi="宋体" w:hint="eastAsia"/>
          <w:color w:val="000000" w:themeColor="text1"/>
        </w:rPr>
        <w:t>。</w:t>
      </w:r>
    </w:p>
    <w:p w:rsidR="00066166" w:rsidRDefault="00066166">
      <w:pPr>
        <w:pStyle w:val="NormalJustified"/>
        <w:widowControl w:val="0"/>
        <w:tabs>
          <w:tab w:val="left" w:pos="2552"/>
        </w:tabs>
        <w:spacing w:beforeLines="100" w:before="312" w:afterLines="100" w:after="312" w:line="300" w:lineRule="auto"/>
        <w:ind w:left="720"/>
        <w:rPr>
          <w:rFonts w:hAnsi="宋体"/>
          <w:color w:val="000000" w:themeColor="text1"/>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125" w:name="_Toc267308501"/>
      <w:bookmarkStart w:id="126" w:name="_Toc267308502"/>
      <w:bookmarkStart w:id="127" w:name="_Toc267308505"/>
      <w:bookmarkStart w:id="128" w:name="_Toc267308504"/>
      <w:bookmarkStart w:id="129" w:name="_Toc267308503"/>
      <w:bookmarkStart w:id="130" w:name="_Toc91143608"/>
      <w:bookmarkStart w:id="131" w:name="_Toc13016385"/>
      <w:bookmarkStart w:id="132" w:name="_Toc164487821"/>
      <w:bookmarkEnd w:id="125"/>
      <w:bookmarkEnd w:id="126"/>
      <w:bookmarkEnd w:id="127"/>
      <w:bookmarkEnd w:id="128"/>
      <w:bookmarkEnd w:id="129"/>
      <w:r>
        <w:rPr>
          <w:color w:val="000000" w:themeColor="text1"/>
          <w:sz w:val="24"/>
          <w:szCs w:val="24"/>
        </w:rPr>
        <w:t>信托财产的管理、运用和处分</w:t>
      </w:r>
      <w:bookmarkEnd w:id="130"/>
      <w:bookmarkEnd w:id="131"/>
      <w:bookmarkEnd w:id="132"/>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33" w:name="_Toc164487822"/>
      <w:r>
        <w:rPr>
          <w:rFonts w:ascii="Times New Roman" w:eastAsia="宋体" w:hAnsi="Times New Roman"/>
          <w:color w:val="000000" w:themeColor="text1"/>
          <w:sz w:val="24"/>
          <w:szCs w:val="24"/>
        </w:rPr>
        <w:t>信托财产的</w:t>
      </w:r>
      <w:bookmarkEnd w:id="133"/>
      <w:r>
        <w:rPr>
          <w:rFonts w:ascii="Times New Roman" w:eastAsia="宋体" w:hAnsi="Times New Roman"/>
          <w:color w:val="000000" w:themeColor="text1"/>
          <w:sz w:val="24"/>
          <w:szCs w:val="24"/>
        </w:rPr>
        <w:t>管理和运用</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b/>
          <w:bCs/>
          <w:color w:val="000000" w:themeColor="text1"/>
          <w:sz w:val="24"/>
          <w:szCs w:val="24"/>
        </w:rPr>
      </w:pPr>
      <w:bookmarkStart w:id="134" w:name="_Ref175843494"/>
      <w:r>
        <w:rPr>
          <w:rFonts w:ascii="Times New Roman" w:hAnsi="Times New Roman" w:hint="eastAsia"/>
          <w:b/>
          <w:bCs/>
          <w:color w:val="000000" w:themeColor="text1"/>
          <w:sz w:val="24"/>
          <w:szCs w:val="24"/>
        </w:rPr>
        <w:t>本信托计划类型：【固定收益类】。</w:t>
      </w:r>
      <w:r>
        <w:rPr>
          <w:rFonts w:hint="eastAsia"/>
          <w:b/>
          <w:bCs/>
          <w:color w:val="000000" w:themeColor="text1"/>
          <w:kern w:val="0"/>
          <w:sz w:val="24"/>
          <w:szCs w:val="20"/>
        </w:rPr>
        <w:t>本信托计划在受托人内部的风险等级为：【</w:t>
      </w:r>
      <w:r>
        <w:rPr>
          <w:b/>
          <w:bCs/>
          <w:color w:val="000000" w:themeColor="text1"/>
          <w:kern w:val="0"/>
          <w:sz w:val="24"/>
          <w:szCs w:val="20"/>
        </w:rPr>
        <w:t>R3</w:t>
      </w:r>
      <w:r>
        <w:rPr>
          <w:rFonts w:hint="eastAsia"/>
          <w:b/>
          <w:bCs/>
          <w:color w:val="000000" w:themeColor="text1"/>
          <w:kern w:val="0"/>
          <w:sz w:val="24"/>
          <w:szCs w:val="20"/>
        </w:rPr>
        <w:t>】。本信托计划风险等级评测为根据受托人系统和标准进行评定，仅供参考，请仔细阅读信托文件项下全部风险揭示内容，以确认信托计划项下涉及的各项相关风险。</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35" w:name="_Hlk47533755"/>
      <w:r>
        <w:rPr>
          <w:rFonts w:ascii="Times New Roman" w:hAnsi="Times New Roman" w:hint="eastAsia"/>
          <w:color w:val="000000" w:themeColor="text1"/>
          <w:sz w:val="24"/>
          <w:szCs w:val="24"/>
        </w:rPr>
        <w:t>本信托计划项下投资比例为：本信托计划项下投资于固定收益类产品的资金金额÷本信托计划项下信托计划资金金额×</w:t>
      </w:r>
      <w:r>
        <w:rPr>
          <w:rFonts w:ascii="Times New Roman" w:hAnsi="Times New Roman" w:hint="eastAsia"/>
          <w:color w:val="000000" w:themeColor="text1"/>
          <w:sz w:val="24"/>
          <w:szCs w:val="24"/>
        </w:rPr>
        <w:t>100%</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80%</w:t>
      </w:r>
      <w:r>
        <w:rPr>
          <w:rFonts w:ascii="Times New Roman" w:hAnsi="Times New Roman" w:hint="eastAsia"/>
          <w:color w:val="000000" w:themeColor="text1"/>
          <w:sz w:val="24"/>
          <w:szCs w:val="24"/>
        </w:rPr>
        <w:t>，本信托计划项下投资于权益类产品及</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或商品及金融衍生品产品的资金金额÷本信托计划项下信托计划资金金额×</w:t>
      </w:r>
      <w:r>
        <w:rPr>
          <w:rFonts w:ascii="Times New Roman" w:hAnsi="Times New Roman" w:hint="eastAsia"/>
          <w:color w:val="000000" w:themeColor="text1"/>
          <w:sz w:val="24"/>
          <w:szCs w:val="24"/>
        </w:rPr>
        <w:t>100%</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w:t>
      </w:r>
      <w:r>
        <w:rPr>
          <w:rFonts w:ascii="Times New Roman" w:hAnsi="Times New Roman" w:hint="eastAsia"/>
          <w:color w:val="000000" w:themeColor="text1"/>
          <w:sz w:val="24"/>
          <w:szCs w:val="24"/>
        </w:rPr>
        <w:t>。</w:t>
      </w:r>
      <w:bookmarkEnd w:id="135"/>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委托人认可：上述投资比例限制可按照本合同约定由受益人大会决议的形式予以调整。但如属于高风险类型的产品超出比例范围投资较低风险资产的情况，受托人可以自行调整资金运用，无需经过委托人</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受益人另行确认。</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投资范围</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宋体"/>
          <w:color w:val="000000" w:themeColor="text1"/>
          <w:kern w:val="28"/>
          <w:sz w:val="24"/>
          <w:szCs w:val="20"/>
        </w:rPr>
      </w:pPr>
      <w:r>
        <w:rPr>
          <w:rFonts w:ascii="Times New Roman" w:hAnsi="宋体" w:hint="eastAsia"/>
          <w:color w:val="000000" w:themeColor="text1"/>
          <w:kern w:val="28"/>
          <w:sz w:val="24"/>
          <w:szCs w:val="20"/>
        </w:rPr>
        <w:t>本信托计划项下信托资金投资于：</w:t>
      </w:r>
      <w:bookmarkStart w:id="136" w:name="_Hlk22740328"/>
    </w:p>
    <w:p w:rsidR="00066166" w:rsidRDefault="00F62BD0">
      <w:pPr>
        <w:pStyle w:val="NormalJustified"/>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标的资管产品；</w:t>
      </w:r>
    </w:p>
    <w:p w:rsidR="00066166" w:rsidRDefault="00F62BD0">
      <w:pPr>
        <w:pStyle w:val="NormalJustified"/>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银行存款、货币市场基金等现金类产品；</w:t>
      </w:r>
    </w:p>
    <w:p w:rsidR="00066166" w:rsidRDefault="00F62BD0">
      <w:pPr>
        <w:pStyle w:val="NormalJustified"/>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按照本合同第</w:t>
      </w:r>
      <w:r>
        <w:rPr>
          <w:rFonts w:hAnsi="宋体"/>
          <w:color w:val="000000" w:themeColor="text1"/>
        </w:rPr>
        <w:t>8.4</w:t>
      </w:r>
      <w:r>
        <w:rPr>
          <w:rFonts w:hAnsi="宋体" w:hint="eastAsia"/>
          <w:color w:val="000000" w:themeColor="text1"/>
        </w:rPr>
        <w:t>款约定认购信保基金服务信托项下信托单位。</w:t>
      </w:r>
      <w:bookmarkEnd w:id="136"/>
    </w:p>
    <w:p w:rsidR="00066166" w:rsidRDefault="00F62BD0">
      <w:pPr>
        <w:pStyle w:val="-11"/>
        <w:tabs>
          <w:tab w:val="left" w:pos="2552"/>
        </w:tabs>
        <w:snapToGrid w:val="0"/>
        <w:spacing w:beforeLines="100" w:before="312" w:afterLines="100" w:after="312" w:line="300" w:lineRule="auto"/>
        <w:ind w:left="720" w:firstLineChars="0" w:firstLine="0"/>
        <w:rPr>
          <w:rFonts w:hAnsi="宋体"/>
          <w:color w:val="000000"/>
          <w:kern w:val="28"/>
          <w:sz w:val="24"/>
          <w:szCs w:val="20"/>
        </w:rPr>
      </w:pPr>
      <w:r>
        <w:rPr>
          <w:rFonts w:ascii="Times New Roman" w:hAnsi="宋体" w:hint="eastAsia"/>
          <w:color w:val="000000" w:themeColor="text1"/>
          <w:kern w:val="28"/>
          <w:sz w:val="24"/>
          <w:szCs w:val="20"/>
        </w:rPr>
        <w:t>依据《信托业保障基金管理办法》的规定，受托人与全体委托人一致同意将信托计划项下部分信托资金通过认购信保基金服务信托项下信托单位用于认购信托业保障基金。</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宋体"/>
          <w:color w:val="000000" w:themeColor="text1"/>
          <w:kern w:val="28"/>
          <w:sz w:val="24"/>
          <w:szCs w:val="20"/>
        </w:rPr>
      </w:pPr>
      <w:r>
        <w:rPr>
          <w:rFonts w:ascii="Times New Roman" w:hAnsi="宋体" w:hint="eastAsia"/>
          <w:b/>
          <w:bCs/>
          <w:color w:val="000000" w:themeColor="text1"/>
          <w:kern w:val="28"/>
          <w:sz w:val="24"/>
          <w:szCs w:val="20"/>
        </w:rPr>
        <w:lastRenderedPageBreak/>
        <w:t>全体委托人确认知悉并同意，法律法规对投资标的的相关规定和限制的调整可能对信托利益的实现产生影响，委托人自行承担相应风险。</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投资限制</w:t>
      </w:r>
    </w:p>
    <w:p w:rsidR="00066166" w:rsidRDefault="00F62BD0">
      <w:pPr>
        <w:pStyle w:val="-11"/>
        <w:snapToGrid w:val="0"/>
        <w:spacing w:beforeLines="100" w:before="312" w:afterLines="100" w:after="312" w:line="300" w:lineRule="auto"/>
        <w:ind w:leftChars="300" w:left="630" w:firstLineChars="0" w:firstLine="0"/>
        <w:rPr>
          <w:color w:val="000000"/>
          <w:sz w:val="24"/>
        </w:rPr>
      </w:pPr>
      <w:bookmarkStart w:id="137" w:name="_Hlk75981761"/>
      <w:r>
        <w:rPr>
          <w:rFonts w:hint="eastAsia"/>
          <w:color w:val="000000"/>
          <w:sz w:val="24"/>
        </w:rPr>
        <w:t>本信托计划项下</w:t>
      </w:r>
      <w:r>
        <w:rPr>
          <w:color w:val="000000"/>
          <w:sz w:val="24"/>
        </w:rPr>
        <w:t>99%</w:t>
      </w:r>
      <w:r>
        <w:rPr>
          <w:rFonts w:hint="eastAsia"/>
          <w:color w:val="000000"/>
          <w:sz w:val="24"/>
        </w:rPr>
        <w:t>的信托资金</w:t>
      </w:r>
      <w:r>
        <w:rPr>
          <w:rFonts w:hint="eastAsia"/>
          <w:color w:val="000000"/>
          <w:sz w:val="24"/>
          <w:lang w:eastAsia="zh-Hans"/>
        </w:rPr>
        <w:t>投资于标的资管产品及货币市场基金等现金管理类产品</w:t>
      </w:r>
      <w:r>
        <w:rPr>
          <w:color w:val="000000"/>
          <w:sz w:val="24"/>
          <w:lang w:eastAsia="zh-Hans"/>
        </w:rPr>
        <w:t>；</w:t>
      </w:r>
      <w:r>
        <w:rPr>
          <w:color w:val="000000"/>
          <w:sz w:val="24"/>
          <w:lang w:eastAsia="zh-Hans"/>
        </w:rPr>
        <w:t>1%</w:t>
      </w:r>
      <w:r>
        <w:rPr>
          <w:rFonts w:hint="eastAsia"/>
          <w:color w:val="000000"/>
          <w:sz w:val="24"/>
        </w:rPr>
        <w:t>的信托资金</w:t>
      </w:r>
      <w:r>
        <w:rPr>
          <w:rFonts w:hint="eastAsia"/>
          <w:color w:val="000000"/>
          <w:sz w:val="24"/>
          <w:lang w:eastAsia="zh-Hans"/>
        </w:rPr>
        <w:t>用于认购信保基金服务信托项下信托单位</w:t>
      </w:r>
      <w:r>
        <w:rPr>
          <w:color w:val="000000"/>
          <w:sz w:val="24"/>
          <w:lang w:eastAsia="zh-Hans"/>
        </w:rPr>
        <w:t>。</w:t>
      </w:r>
      <w:bookmarkEnd w:id="137"/>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bCs/>
          <w:color w:val="000000" w:themeColor="text1"/>
          <w:sz w:val="24"/>
          <w:szCs w:val="24"/>
        </w:rPr>
        <w:t>标的资管产品管理人和标的资管产品</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38" w:name="_Hlk55228675"/>
      <w:bookmarkStart w:id="139" w:name="_Hlk22740474"/>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、标的资管产品管理人的基本情况如下：</w:t>
      </w:r>
    </w:p>
    <w:p w:rsidR="00066166" w:rsidRDefault="00F62BD0">
      <w:pPr>
        <w:tabs>
          <w:tab w:val="left" w:pos="2552"/>
        </w:tabs>
        <w:snapToGrid w:val="0"/>
        <w:spacing w:beforeLines="100" w:before="312" w:afterLines="100" w:after="312" w:line="300" w:lineRule="auto"/>
        <w:ind w:left="720"/>
        <w:rPr>
          <w:color w:val="000000"/>
          <w:sz w:val="24"/>
        </w:rPr>
      </w:pPr>
      <w:bookmarkStart w:id="140" w:name="_Hlk55894312"/>
      <w:bookmarkStart w:id="141" w:name="_Hlk73966088"/>
      <w:r>
        <w:rPr>
          <w:rFonts w:hint="eastAsia"/>
          <w:color w:val="000000"/>
          <w:sz w:val="24"/>
        </w:rPr>
        <w:t>申万宏源证券有限公司</w:t>
      </w:r>
      <w:bookmarkEnd w:id="140"/>
      <w:r>
        <w:rPr>
          <w:color w:val="000000"/>
          <w:sz w:val="24"/>
        </w:rPr>
        <w:t>，</w:t>
      </w:r>
      <w:r>
        <w:rPr>
          <w:rFonts w:hint="eastAsia"/>
          <w:color w:val="000000"/>
          <w:sz w:val="24"/>
          <w:lang w:eastAsia="zh-Hans"/>
        </w:rPr>
        <w:t>成立于</w:t>
      </w:r>
      <w:r>
        <w:rPr>
          <w:rFonts w:hint="eastAsia"/>
          <w:color w:val="000000"/>
          <w:sz w:val="24"/>
          <w:lang w:eastAsia="zh-Hans"/>
        </w:rPr>
        <w:t>2015</w:t>
      </w:r>
      <w:r>
        <w:rPr>
          <w:rFonts w:hint="eastAsia"/>
          <w:color w:val="000000"/>
          <w:sz w:val="24"/>
          <w:lang w:eastAsia="zh-Hans"/>
        </w:rPr>
        <w:t>年</w:t>
      </w:r>
      <w:r>
        <w:rPr>
          <w:rFonts w:hint="eastAsia"/>
          <w:color w:val="000000"/>
          <w:sz w:val="24"/>
          <w:lang w:eastAsia="zh-Hans"/>
        </w:rPr>
        <w:t>1</w:t>
      </w:r>
      <w:r>
        <w:rPr>
          <w:rFonts w:hint="eastAsia"/>
          <w:color w:val="000000"/>
          <w:sz w:val="24"/>
          <w:lang w:eastAsia="zh-Hans"/>
        </w:rPr>
        <w:t>月</w:t>
      </w:r>
      <w:r>
        <w:rPr>
          <w:rFonts w:hint="eastAsia"/>
          <w:color w:val="000000"/>
          <w:sz w:val="24"/>
          <w:lang w:eastAsia="zh-Hans"/>
        </w:rPr>
        <w:t>16</w:t>
      </w:r>
      <w:r>
        <w:rPr>
          <w:rFonts w:hint="eastAsia"/>
          <w:color w:val="000000"/>
          <w:sz w:val="24"/>
          <w:lang w:eastAsia="zh-Hans"/>
        </w:rPr>
        <w:t>日，注册资本</w:t>
      </w:r>
      <w:r>
        <w:rPr>
          <w:rFonts w:hint="eastAsia"/>
          <w:color w:val="000000"/>
          <w:sz w:val="24"/>
          <w:lang w:eastAsia="zh-Hans"/>
        </w:rPr>
        <w:t>520</w:t>
      </w:r>
      <w:r>
        <w:rPr>
          <w:rFonts w:hint="eastAsia"/>
          <w:color w:val="000000"/>
          <w:sz w:val="24"/>
          <w:lang w:eastAsia="zh-Hans"/>
        </w:rPr>
        <w:t>亿元</w:t>
      </w:r>
      <w:r>
        <w:rPr>
          <w:color w:val="000000"/>
          <w:sz w:val="24"/>
          <w:lang w:eastAsia="zh-Hans"/>
        </w:rPr>
        <w:t>。</w:t>
      </w:r>
      <w:r>
        <w:rPr>
          <w:rFonts w:hint="eastAsia"/>
          <w:color w:val="000000"/>
          <w:sz w:val="24"/>
          <w:lang w:eastAsia="zh-Hans"/>
        </w:rPr>
        <w:t>该公司是申万宏源股份有限公司</w:t>
      </w:r>
      <w:r>
        <w:rPr>
          <w:color w:val="000000"/>
          <w:sz w:val="24"/>
          <w:lang w:eastAsia="zh-Hans"/>
        </w:rPr>
        <w:t>100%</w:t>
      </w:r>
      <w:r>
        <w:rPr>
          <w:rFonts w:hint="eastAsia"/>
          <w:color w:val="000000"/>
          <w:sz w:val="24"/>
          <w:lang w:eastAsia="zh-Hans"/>
        </w:rPr>
        <w:t>持股全资子公司</w:t>
      </w:r>
      <w:r>
        <w:rPr>
          <w:color w:val="000000"/>
          <w:sz w:val="24"/>
          <w:lang w:eastAsia="zh-Hans"/>
        </w:rPr>
        <w:t>，</w:t>
      </w:r>
      <w:r>
        <w:rPr>
          <w:rFonts w:hint="eastAsia"/>
          <w:color w:val="000000"/>
          <w:sz w:val="24"/>
          <w:lang w:eastAsia="zh-Hans"/>
        </w:rPr>
        <w:t>实际控制人为</w:t>
      </w:r>
      <w:r>
        <w:rPr>
          <w:color w:val="000000"/>
          <w:sz w:val="24"/>
          <w:lang w:eastAsia="zh-Hans"/>
        </w:rPr>
        <w:t>中央汇金投资有限责任公司。</w:t>
      </w:r>
      <w:r>
        <w:rPr>
          <w:rFonts w:hint="eastAsia"/>
          <w:color w:val="000000"/>
          <w:sz w:val="24"/>
          <w:lang w:eastAsia="zh-Hans"/>
        </w:rPr>
        <w:t>证监会于</w:t>
      </w:r>
      <w:r>
        <w:rPr>
          <w:color w:val="000000"/>
          <w:sz w:val="24"/>
          <w:lang w:eastAsia="zh-Hans"/>
        </w:rPr>
        <w:t>2020</w:t>
      </w:r>
      <w:r>
        <w:rPr>
          <w:rFonts w:hint="eastAsia"/>
          <w:color w:val="000000"/>
          <w:sz w:val="24"/>
          <w:lang w:eastAsia="zh-Hans"/>
        </w:rPr>
        <w:t>年对该公司的评级为</w:t>
      </w:r>
      <w:r>
        <w:rPr>
          <w:rFonts w:hint="eastAsia"/>
          <w:color w:val="000000"/>
          <w:sz w:val="24"/>
          <w:lang w:eastAsia="zh-Hans"/>
        </w:rPr>
        <w:t>AA</w:t>
      </w:r>
      <w:r>
        <w:rPr>
          <w:color w:val="000000"/>
          <w:sz w:val="24"/>
          <w:lang w:eastAsia="zh-Hans"/>
        </w:rPr>
        <w:t>。</w:t>
      </w:r>
      <w:r>
        <w:rPr>
          <w:rFonts w:hint="eastAsia"/>
          <w:color w:val="000000"/>
          <w:sz w:val="24"/>
          <w:lang w:eastAsia="zh-Hans"/>
        </w:rPr>
        <w:t>主要投资方向是固定收益类</w:t>
      </w:r>
      <w:r>
        <w:rPr>
          <w:color w:val="000000"/>
          <w:sz w:val="24"/>
          <w:lang w:eastAsia="zh-Hans"/>
        </w:rPr>
        <w:t>。申万宏源证券有限公司是由新中国第一家股份制证券公司</w:t>
      </w:r>
      <w:r>
        <w:rPr>
          <w:color w:val="000000"/>
          <w:sz w:val="24"/>
          <w:lang w:eastAsia="zh-Hans"/>
        </w:rPr>
        <w:t>——</w:t>
      </w:r>
      <w:r>
        <w:rPr>
          <w:color w:val="000000"/>
          <w:sz w:val="24"/>
          <w:lang w:eastAsia="zh-Hans"/>
        </w:rPr>
        <w:t>申银万国证券股份有限公司与国内资本市场第一家上市证券公司</w:t>
      </w:r>
      <w:r>
        <w:rPr>
          <w:color w:val="000000"/>
          <w:sz w:val="24"/>
          <w:lang w:eastAsia="zh-Hans"/>
        </w:rPr>
        <w:t>——</w:t>
      </w:r>
      <w:r>
        <w:rPr>
          <w:color w:val="000000"/>
          <w:sz w:val="24"/>
          <w:lang w:eastAsia="zh-Hans"/>
        </w:rPr>
        <w:t>宏源证券股份有限公司，于</w:t>
      </w:r>
      <w:r>
        <w:rPr>
          <w:color w:val="000000"/>
          <w:sz w:val="24"/>
          <w:lang w:eastAsia="zh-Hans"/>
        </w:rPr>
        <w:t>2015</w:t>
      </w:r>
      <w:r>
        <w:rPr>
          <w:color w:val="000000"/>
          <w:sz w:val="24"/>
          <w:lang w:eastAsia="zh-Hans"/>
        </w:rPr>
        <w:t>年</w:t>
      </w:r>
      <w:r>
        <w:rPr>
          <w:color w:val="000000"/>
          <w:sz w:val="24"/>
          <w:lang w:eastAsia="zh-Hans"/>
        </w:rPr>
        <w:t>1</w:t>
      </w:r>
      <w:r>
        <w:rPr>
          <w:color w:val="000000"/>
          <w:sz w:val="24"/>
          <w:lang w:eastAsia="zh-Hans"/>
        </w:rPr>
        <w:t>月</w:t>
      </w:r>
      <w:r>
        <w:rPr>
          <w:color w:val="000000"/>
          <w:sz w:val="24"/>
          <w:lang w:eastAsia="zh-Hans"/>
        </w:rPr>
        <w:t>16</w:t>
      </w:r>
      <w:r>
        <w:rPr>
          <w:color w:val="000000"/>
          <w:sz w:val="24"/>
          <w:lang w:eastAsia="zh-Hans"/>
        </w:rPr>
        <w:t>日合并组建而成。注册资本</w:t>
      </w:r>
      <w:r>
        <w:rPr>
          <w:color w:val="000000"/>
          <w:sz w:val="24"/>
          <w:lang w:eastAsia="zh-Hans"/>
        </w:rPr>
        <w:t>520</w:t>
      </w:r>
      <w:r>
        <w:rPr>
          <w:color w:val="000000"/>
          <w:sz w:val="24"/>
          <w:lang w:eastAsia="zh-Hans"/>
        </w:rPr>
        <w:t>亿元，拥有员工近</w:t>
      </w:r>
      <w:r>
        <w:rPr>
          <w:color w:val="000000"/>
          <w:sz w:val="24"/>
          <w:lang w:eastAsia="zh-Hans"/>
        </w:rPr>
        <w:t>100</w:t>
      </w:r>
      <w:r>
        <w:rPr>
          <w:color w:val="000000"/>
          <w:sz w:val="24"/>
          <w:lang w:eastAsia="zh-Hans"/>
        </w:rPr>
        <w:t>00</w:t>
      </w:r>
      <w:r>
        <w:rPr>
          <w:color w:val="000000"/>
          <w:sz w:val="24"/>
          <w:lang w:eastAsia="zh-Hans"/>
        </w:rPr>
        <w:t>名，是国家主权财富基金</w:t>
      </w:r>
      <w:r>
        <w:rPr>
          <w:color w:val="000000"/>
          <w:sz w:val="24"/>
          <w:lang w:eastAsia="zh-Hans"/>
        </w:rPr>
        <w:t>——</w:t>
      </w:r>
      <w:r>
        <w:rPr>
          <w:color w:val="000000"/>
          <w:sz w:val="24"/>
          <w:lang w:eastAsia="zh-Hans"/>
        </w:rPr>
        <w:t>中国投资有限责任公司的直管企业。公司营业网点遍布全国，实现了</w:t>
      </w:r>
      <w:r>
        <w:rPr>
          <w:color w:val="000000"/>
          <w:sz w:val="24"/>
          <w:lang w:eastAsia="zh-Hans"/>
        </w:rPr>
        <w:t>32</w:t>
      </w:r>
      <w:r>
        <w:rPr>
          <w:color w:val="000000"/>
          <w:sz w:val="24"/>
          <w:lang w:eastAsia="zh-Hans"/>
        </w:rPr>
        <w:t>个省市自治区全覆盖，共设有</w:t>
      </w:r>
      <w:r>
        <w:rPr>
          <w:color w:val="000000"/>
          <w:sz w:val="24"/>
          <w:lang w:eastAsia="zh-Hans"/>
        </w:rPr>
        <w:t>41</w:t>
      </w:r>
      <w:r>
        <w:rPr>
          <w:color w:val="000000"/>
          <w:sz w:val="24"/>
          <w:lang w:eastAsia="zh-Hans"/>
        </w:rPr>
        <w:t>家证券分公司和</w:t>
      </w:r>
      <w:r>
        <w:rPr>
          <w:color w:val="000000"/>
          <w:sz w:val="24"/>
          <w:lang w:eastAsia="zh-Hans"/>
        </w:rPr>
        <w:t>2</w:t>
      </w:r>
      <w:r>
        <w:rPr>
          <w:color w:val="000000"/>
          <w:sz w:val="24"/>
          <w:lang w:eastAsia="zh-Hans"/>
        </w:rPr>
        <w:t>家期货分公司、</w:t>
      </w:r>
      <w:r>
        <w:rPr>
          <w:color w:val="000000"/>
          <w:sz w:val="24"/>
          <w:lang w:eastAsia="zh-Hans"/>
        </w:rPr>
        <w:t>308</w:t>
      </w:r>
      <w:r>
        <w:rPr>
          <w:color w:val="000000"/>
          <w:sz w:val="24"/>
          <w:lang w:eastAsia="zh-Hans"/>
        </w:rPr>
        <w:t>家证券营业部和</w:t>
      </w:r>
      <w:r>
        <w:rPr>
          <w:color w:val="000000"/>
          <w:sz w:val="24"/>
          <w:lang w:eastAsia="zh-Hans"/>
        </w:rPr>
        <w:t>21</w:t>
      </w:r>
      <w:r>
        <w:rPr>
          <w:color w:val="000000"/>
          <w:sz w:val="24"/>
          <w:lang w:eastAsia="zh-Hans"/>
        </w:rPr>
        <w:t>个期货营业网点，在香港设有子公司，并设有伦敦、东京、新加坡、首尔等海外分支机构。申万宏源证券有限公司发挥</w:t>
      </w:r>
      <w:r>
        <w:rPr>
          <w:color w:val="000000"/>
          <w:sz w:val="24"/>
          <w:lang w:eastAsia="zh-Hans"/>
        </w:rPr>
        <w:t>“</w:t>
      </w:r>
      <w:r>
        <w:rPr>
          <w:color w:val="000000"/>
          <w:sz w:val="24"/>
          <w:lang w:eastAsia="zh-Hans"/>
        </w:rPr>
        <w:t>投资控股集团</w:t>
      </w:r>
      <w:r>
        <w:rPr>
          <w:color w:val="000000"/>
          <w:sz w:val="24"/>
          <w:lang w:eastAsia="zh-Hans"/>
        </w:rPr>
        <w:t>+</w:t>
      </w:r>
      <w:r>
        <w:rPr>
          <w:color w:val="000000"/>
          <w:sz w:val="24"/>
          <w:lang w:eastAsia="zh-Hans"/>
        </w:rPr>
        <w:t>证券子公司</w:t>
      </w:r>
      <w:r>
        <w:rPr>
          <w:color w:val="000000"/>
          <w:sz w:val="24"/>
          <w:lang w:eastAsia="zh-Hans"/>
        </w:rPr>
        <w:t>”</w:t>
      </w:r>
      <w:r>
        <w:rPr>
          <w:color w:val="000000"/>
          <w:sz w:val="24"/>
          <w:lang w:eastAsia="zh-Hans"/>
        </w:rPr>
        <w:t>的双层架构优势，为企业集团、个人投资者、专业机构投资者、金融同业机构及政府客户提供以资本市场为核心的全产业链综合金融服务，拥有投资银行、财富管理、机构服务和交易、投资管理等全业务牌照，主营业务涵盖企业金</w:t>
      </w:r>
      <w:r>
        <w:rPr>
          <w:color w:val="000000"/>
          <w:sz w:val="24"/>
          <w:lang w:eastAsia="zh-Hans"/>
        </w:rPr>
        <w:t>融、个人金融、机构服务及交易、投资管理四大业务板块。</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sz w:val="24"/>
          <w:szCs w:val="24"/>
        </w:rPr>
      </w:pPr>
      <w:bookmarkStart w:id="142" w:name="_Hlk22740494"/>
      <w:bookmarkEnd w:id="138"/>
      <w:bookmarkEnd w:id="139"/>
      <w:bookmarkEnd w:id="141"/>
      <w:r>
        <w:rPr>
          <w:rFonts w:ascii="宋体" w:hAnsi="宋体"/>
          <w:color w:val="000000" w:themeColor="text1"/>
          <w:sz w:val="24"/>
        </w:rPr>
        <w:t>2</w:t>
      </w:r>
      <w:r>
        <w:rPr>
          <w:rFonts w:ascii="宋体" w:hAnsi="宋体" w:hint="eastAsia"/>
          <w:color w:val="000000" w:themeColor="text1"/>
          <w:sz w:val="24"/>
        </w:rPr>
        <w:t>、</w:t>
      </w:r>
      <w:bookmarkStart w:id="143" w:name="_Hlk73966112"/>
      <w:r>
        <w:rPr>
          <w:rFonts w:ascii="Times New Roman" w:hAnsi="Times New Roman" w:hint="eastAsia"/>
          <w:sz w:val="24"/>
          <w:szCs w:val="24"/>
        </w:rPr>
        <w:t>标的资管产品的基本要素详见附件八，</w:t>
      </w:r>
      <w:bookmarkEnd w:id="142"/>
      <w:r>
        <w:rPr>
          <w:rFonts w:ascii="Times New Roman" w:hAnsi="Times New Roman" w:hint="eastAsia"/>
          <w:sz w:val="24"/>
          <w:szCs w:val="24"/>
        </w:rPr>
        <w:t>具体情况以资产管理合同的约定为准。</w:t>
      </w:r>
      <w:bookmarkEnd w:id="143"/>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宋体"/>
          <w:b/>
          <w:bCs/>
          <w:color w:val="000000" w:themeColor="text1"/>
          <w:kern w:val="28"/>
          <w:sz w:val="24"/>
          <w:szCs w:val="20"/>
        </w:rPr>
      </w:pPr>
      <w:bookmarkStart w:id="144" w:name="_Hlk75981868"/>
      <w:r>
        <w:rPr>
          <w:rFonts w:ascii="Times New Roman" w:hAnsi="Times New Roman" w:hint="eastAsia"/>
          <w:b/>
          <w:kern w:val="0"/>
          <w:sz w:val="24"/>
        </w:rPr>
        <w:t>全体委托人</w:t>
      </w:r>
      <w:r>
        <w:rPr>
          <w:rFonts w:ascii="Times New Roman" w:hAnsi="Times New Roman" w:hint="eastAsia"/>
          <w:b/>
          <w:bCs/>
          <w:kern w:val="0"/>
          <w:sz w:val="24"/>
        </w:rPr>
        <w:t>确认同意</w:t>
      </w:r>
      <w:r>
        <w:rPr>
          <w:rFonts w:ascii="Times New Roman" w:hAnsi="Times New Roman" w:hint="eastAsia"/>
          <w:b/>
          <w:kern w:val="0"/>
          <w:sz w:val="24"/>
        </w:rPr>
        <w:t>信托财产主要投资于标的资管产品，充分知悉并认可</w:t>
      </w:r>
      <w:r>
        <w:rPr>
          <w:rFonts w:ascii="Times New Roman" w:hAnsi="Times New Roman" w:hint="eastAsia"/>
          <w:b/>
          <w:bCs/>
          <w:kern w:val="0"/>
          <w:sz w:val="24"/>
        </w:rPr>
        <w:t>标的资管产品管理人</w:t>
      </w:r>
      <w:r>
        <w:rPr>
          <w:rFonts w:ascii="Times New Roman" w:hAnsi="Times New Roman" w:hint="eastAsia"/>
          <w:b/>
          <w:kern w:val="0"/>
          <w:sz w:val="24"/>
        </w:rPr>
        <w:t>的经营状况、财务状况、过往业绩、资产管理能力、持续经营能力、资产管理团队情况等各项情况，充分知悉并认可标的资管产品投资理念和投资策略。全体委托人已认真阅读并知悉资产管理合同，已充分了解标的资管产品的投资范围、投资限制、投资运作、</w:t>
      </w:r>
      <w:r>
        <w:rPr>
          <w:rFonts w:ascii="Times New Roman" w:hAnsi="Times New Roman" w:hint="eastAsia"/>
          <w:b/>
          <w:kern w:val="0"/>
          <w:sz w:val="24"/>
        </w:rPr>
        <w:lastRenderedPageBreak/>
        <w:t>风险揭示等内容，对资产管理合同等文件的全部内容理解无误并完全同意，并自愿承担因申万宏源证券作为</w:t>
      </w:r>
      <w:r>
        <w:rPr>
          <w:rFonts w:ascii="Times New Roman" w:hAnsi="Times New Roman" w:hint="eastAsia"/>
          <w:b/>
          <w:bCs/>
          <w:kern w:val="0"/>
          <w:sz w:val="24"/>
        </w:rPr>
        <w:t>标的资管产品</w:t>
      </w:r>
      <w:r>
        <w:rPr>
          <w:rFonts w:ascii="Times New Roman" w:hAnsi="Times New Roman" w:hint="eastAsia"/>
          <w:b/>
          <w:kern w:val="0"/>
          <w:sz w:val="24"/>
        </w:rPr>
        <w:t>管理人所产生的一切风险。全体委托人理解并认可信托文件的全部内容以及受托人代表本信托计划签署的资产管理合同等全部交易文件的全部内容和条款及补充内容，同意受托人根据信托文件和资产管理</w:t>
      </w:r>
      <w:r>
        <w:rPr>
          <w:rFonts w:ascii="Times New Roman" w:hAnsi="Times New Roman" w:hint="eastAsia"/>
          <w:b/>
          <w:kern w:val="0"/>
          <w:sz w:val="24"/>
        </w:rPr>
        <w:t>合同等文件的约定对信托财产进行管理，自愿承担投资于标的资管产品所产生的一切风险</w:t>
      </w:r>
      <w:bookmarkEnd w:id="144"/>
      <w:r>
        <w:rPr>
          <w:rFonts w:ascii="Times New Roman" w:hAnsi="宋体"/>
          <w:b/>
          <w:bCs/>
          <w:color w:val="000000" w:themeColor="text1"/>
          <w:kern w:val="28"/>
          <w:sz w:val="24"/>
          <w:szCs w:val="20"/>
        </w:rPr>
        <w:t>。</w:t>
      </w:r>
    </w:p>
    <w:p w:rsidR="00066166" w:rsidRDefault="00F62BD0">
      <w:pPr>
        <w:pStyle w:val="-11"/>
        <w:snapToGrid w:val="0"/>
        <w:spacing w:beforeLines="100" w:before="312" w:afterLines="100" w:after="312" w:line="300" w:lineRule="auto"/>
        <w:ind w:firstLineChars="300" w:firstLine="723"/>
        <w:rPr>
          <w:b/>
          <w:bCs/>
          <w:color w:val="000000" w:themeColor="text1"/>
          <w:sz w:val="24"/>
        </w:rPr>
      </w:pPr>
      <w:r>
        <w:rPr>
          <w:rFonts w:hint="eastAsia"/>
          <w:b/>
          <w:bCs/>
          <w:color w:val="000000" w:themeColor="text1"/>
          <w:sz w:val="24"/>
        </w:rPr>
        <w:t>全体委托人</w:t>
      </w:r>
      <w:r>
        <w:rPr>
          <w:b/>
          <w:bCs/>
          <w:color w:val="000000" w:themeColor="text1"/>
          <w:sz w:val="24"/>
        </w:rPr>
        <w:t>/</w:t>
      </w:r>
      <w:r>
        <w:rPr>
          <w:rFonts w:hint="eastAsia"/>
          <w:b/>
          <w:bCs/>
          <w:color w:val="000000" w:themeColor="text1"/>
          <w:sz w:val="24"/>
        </w:rPr>
        <w:t>受益人确认并同意：</w:t>
      </w:r>
    </w:p>
    <w:p w:rsidR="00066166" w:rsidRDefault="00F62BD0">
      <w:pPr>
        <w:pStyle w:val="-11"/>
        <w:snapToGrid w:val="0"/>
        <w:spacing w:beforeLines="100" w:before="312" w:afterLines="100" w:after="312" w:line="300" w:lineRule="auto"/>
        <w:ind w:firstLineChars="0"/>
        <w:rPr>
          <w:b/>
          <w:bCs/>
          <w:color w:val="000000" w:themeColor="text1"/>
          <w:sz w:val="24"/>
        </w:rPr>
      </w:pPr>
      <w:r>
        <w:rPr>
          <w:rFonts w:hint="eastAsia"/>
          <w:b/>
          <w:bCs/>
          <w:color w:val="000000" w:themeColor="text1"/>
          <w:sz w:val="24"/>
        </w:rPr>
        <w:t>1</w:t>
      </w:r>
      <w:r>
        <w:rPr>
          <w:rFonts w:hint="eastAsia"/>
          <w:b/>
          <w:bCs/>
          <w:color w:val="000000" w:themeColor="text1"/>
          <w:sz w:val="24"/>
        </w:rPr>
        <w:t>）委托人</w:t>
      </w:r>
      <w:r>
        <w:rPr>
          <w:b/>
          <w:bCs/>
          <w:color w:val="000000" w:themeColor="text1"/>
          <w:sz w:val="24"/>
        </w:rPr>
        <w:t>/</w:t>
      </w:r>
      <w:r>
        <w:rPr>
          <w:b/>
          <w:bCs/>
          <w:color w:val="000000" w:themeColor="text1"/>
          <w:sz w:val="24"/>
        </w:rPr>
        <w:t>受益人</w:t>
      </w:r>
      <w:r>
        <w:rPr>
          <w:rFonts w:hint="eastAsia"/>
          <w:b/>
          <w:bCs/>
          <w:color w:val="000000" w:themeColor="text1"/>
          <w:sz w:val="24"/>
        </w:rPr>
        <w:t>已充分了解本信托计划投资理念和投资策略，认可受托人依据信托文件的规定管理运用信托财产。</w:t>
      </w:r>
    </w:p>
    <w:p w:rsidR="00066166" w:rsidRDefault="00F62BD0">
      <w:pPr>
        <w:pStyle w:val="-11"/>
        <w:snapToGrid w:val="0"/>
        <w:spacing w:beforeLines="100" w:before="312" w:afterLines="100" w:after="312" w:line="300" w:lineRule="auto"/>
        <w:ind w:firstLineChars="0"/>
        <w:rPr>
          <w:b/>
          <w:bCs/>
          <w:color w:val="000000" w:themeColor="text1"/>
          <w:sz w:val="24"/>
        </w:rPr>
      </w:pPr>
      <w:r>
        <w:rPr>
          <w:rFonts w:hint="eastAsia"/>
          <w:b/>
          <w:bCs/>
          <w:color w:val="000000" w:themeColor="text1"/>
          <w:sz w:val="24"/>
        </w:rPr>
        <w:t>2</w:t>
      </w:r>
      <w:r>
        <w:rPr>
          <w:rFonts w:hint="eastAsia"/>
          <w:b/>
          <w:bCs/>
          <w:color w:val="000000" w:themeColor="text1"/>
          <w:sz w:val="24"/>
        </w:rPr>
        <w:t>）受托人依据信托文件的约定进行相应的投资操作，因此产生的一切风险和损失（包括但不限于由于对经济形势、金融市场、投资产品价格走势等判断有误、获取信息不全、所投资产品的管理人</w:t>
      </w:r>
      <w:r>
        <w:rPr>
          <w:rFonts w:hint="eastAsia"/>
          <w:b/>
          <w:bCs/>
          <w:color w:val="000000" w:themeColor="text1"/>
          <w:sz w:val="24"/>
        </w:rPr>
        <w:t>/</w:t>
      </w:r>
      <w:r>
        <w:rPr>
          <w:rFonts w:hint="eastAsia"/>
          <w:b/>
          <w:bCs/>
          <w:color w:val="000000" w:themeColor="text1"/>
          <w:sz w:val="24"/>
        </w:rPr>
        <w:t>发行人信息披露不实等原因导致的风险和损失）将由委托人</w:t>
      </w:r>
      <w:r>
        <w:rPr>
          <w:b/>
          <w:bCs/>
          <w:color w:val="000000" w:themeColor="text1"/>
          <w:sz w:val="24"/>
        </w:rPr>
        <w:t>/</w:t>
      </w:r>
      <w:r>
        <w:rPr>
          <w:rFonts w:hint="eastAsia"/>
          <w:b/>
          <w:bCs/>
          <w:color w:val="000000" w:themeColor="text1"/>
          <w:sz w:val="24"/>
        </w:rPr>
        <w:t>受益人承担。本信托计划不能保证盈利，也不能保证投资者交付的资金不受损失，由此引致的全部风险将由委托人</w:t>
      </w:r>
      <w:r>
        <w:rPr>
          <w:b/>
          <w:bCs/>
          <w:color w:val="000000" w:themeColor="text1"/>
          <w:sz w:val="24"/>
        </w:rPr>
        <w:t>/</w:t>
      </w:r>
      <w:r>
        <w:rPr>
          <w:rFonts w:hint="eastAsia"/>
          <w:b/>
          <w:bCs/>
          <w:color w:val="000000" w:themeColor="text1"/>
          <w:sz w:val="24"/>
        </w:rPr>
        <w:t>受益人承担。</w:t>
      </w:r>
    </w:p>
    <w:p w:rsidR="00066166" w:rsidRDefault="00F62BD0">
      <w:pPr>
        <w:pStyle w:val="-11"/>
        <w:tabs>
          <w:tab w:val="left" w:pos="2552"/>
        </w:tabs>
        <w:snapToGrid w:val="0"/>
        <w:spacing w:beforeLines="100" w:before="312" w:afterLines="100" w:after="312" w:line="300" w:lineRule="auto"/>
        <w:ind w:firstLineChars="0"/>
        <w:rPr>
          <w:b/>
          <w:bCs/>
          <w:i/>
          <w:color w:val="000000" w:themeColor="text1"/>
          <w:sz w:val="24"/>
          <w:u w:val="single"/>
        </w:rPr>
      </w:pPr>
      <w:r>
        <w:rPr>
          <w:rFonts w:hint="eastAsia"/>
          <w:b/>
          <w:bCs/>
          <w:color w:val="000000" w:themeColor="text1"/>
          <w:sz w:val="24"/>
        </w:rPr>
        <w:t>3</w:t>
      </w:r>
      <w:r>
        <w:rPr>
          <w:rFonts w:hint="eastAsia"/>
          <w:b/>
          <w:bCs/>
          <w:color w:val="000000" w:themeColor="text1"/>
          <w:sz w:val="24"/>
        </w:rPr>
        <w:t>）受托人基于标的资管产品管理人提供的信息资料、公开渠道检索、现场沟通</w:t>
      </w:r>
      <w:r>
        <w:rPr>
          <w:b/>
          <w:bCs/>
          <w:color w:val="000000" w:themeColor="text1"/>
          <w:sz w:val="24"/>
        </w:rPr>
        <w:t>/</w:t>
      </w:r>
      <w:r>
        <w:rPr>
          <w:rFonts w:hint="eastAsia"/>
          <w:b/>
          <w:bCs/>
          <w:color w:val="000000" w:themeColor="text1"/>
          <w:sz w:val="24"/>
        </w:rPr>
        <w:t>走访等方式进行尽职调查，可能因标的资管产品管理人未如实、完整提供信息资料，公开渠道检索信息未能及时更新，现场沟通</w:t>
      </w:r>
      <w:r>
        <w:rPr>
          <w:b/>
          <w:bCs/>
          <w:color w:val="000000" w:themeColor="text1"/>
          <w:sz w:val="24"/>
        </w:rPr>
        <w:t>/</w:t>
      </w:r>
      <w:r>
        <w:rPr>
          <w:rFonts w:hint="eastAsia"/>
          <w:b/>
          <w:bCs/>
          <w:color w:val="000000" w:themeColor="text1"/>
          <w:sz w:val="24"/>
        </w:rPr>
        <w:t>走访局限性等原因，导致尽职调查未能客观、真实反映标的资管产品管理人及标的资管产品的信息，并可能会因此造成对信托财产的不利影响和风险，委托人</w:t>
      </w:r>
      <w:r>
        <w:rPr>
          <w:b/>
          <w:bCs/>
          <w:color w:val="000000" w:themeColor="text1"/>
          <w:sz w:val="24"/>
        </w:rPr>
        <w:t>/</w:t>
      </w:r>
      <w:r>
        <w:rPr>
          <w:rFonts w:hint="eastAsia"/>
          <w:b/>
          <w:bCs/>
          <w:color w:val="000000" w:themeColor="text1"/>
          <w:sz w:val="24"/>
        </w:rPr>
        <w:t>受益人知悉并认可受托人的上述尽职调查方式、程度，完全认可、理解标的资管</w:t>
      </w:r>
      <w:r>
        <w:rPr>
          <w:rFonts w:hint="eastAsia"/>
          <w:b/>
          <w:bCs/>
          <w:color w:val="000000" w:themeColor="text1"/>
          <w:sz w:val="24"/>
        </w:rPr>
        <w:t>产品管理人的基本情况并自愿承担相应风险。</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宋体"/>
          <w:b/>
          <w:bCs/>
          <w:color w:val="000000" w:themeColor="text1"/>
          <w:kern w:val="28"/>
          <w:sz w:val="24"/>
          <w:szCs w:val="20"/>
        </w:rPr>
      </w:pPr>
      <w:r>
        <w:rPr>
          <w:rFonts w:ascii="宋体" w:hAnsi="宋体" w:hint="eastAsia"/>
          <w:b/>
          <w:bCs/>
          <w:color w:val="000000" w:themeColor="text1"/>
          <w:sz w:val="24"/>
        </w:rPr>
        <w:t>特别提示：受托人及相关机构和人员的过往业绩不代表信托计划未来运作的实际效果。</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期限届满前的变现</w:t>
      </w:r>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45" w:name="_Hlk46085017"/>
      <w:bookmarkStart w:id="146" w:name="_Hlk46084971"/>
      <w:bookmarkStart w:id="147" w:name="_Hlk22740710"/>
      <w:r>
        <w:rPr>
          <w:rFonts w:ascii="Times New Roman" w:hAnsi="Times New Roman" w:hint="eastAsia"/>
          <w:color w:val="000000" w:themeColor="text1"/>
          <w:sz w:val="24"/>
          <w:szCs w:val="24"/>
        </w:rPr>
        <w:t>受托人有权自信托计划期限届满前第【</w:t>
      </w:r>
      <w:r>
        <w:rPr>
          <w:rFonts w:ascii="Times New Roman" w:hAnsi="Times New Roman" w:hint="eastAsia"/>
          <w:color w:val="000000" w:themeColor="text1"/>
          <w:sz w:val="24"/>
          <w:szCs w:val="24"/>
        </w:rPr>
        <w:t>20</w:t>
      </w:r>
      <w:r>
        <w:rPr>
          <w:rFonts w:ascii="Times New Roman" w:hAnsi="Times New Roman" w:hint="eastAsia"/>
          <w:color w:val="000000" w:themeColor="text1"/>
          <w:sz w:val="24"/>
          <w:szCs w:val="24"/>
        </w:rPr>
        <w:t>】个交易日起不再买入资产，并开始信托计划财产变现，直至信托计划财产全部变现完毕。</w:t>
      </w:r>
      <w:bookmarkEnd w:id="145"/>
      <w:bookmarkEnd w:id="146"/>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bookmarkStart w:id="148" w:name="_Hlk55547882"/>
      <w:r>
        <w:rPr>
          <w:rFonts w:ascii="Times New Roman" w:hAnsi="Times New Roman" w:hint="eastAsia"/>
          <w:color w:val="000000" w:themeColor="text1"/>
          <w:sz w:val="24"/>
          <w:szCs w:val="24"/>
        </w:rPr>
        <w:t>特别交易条款</w:t>
      </w:r>
      <w:bookmarkEnd w:id="148"/>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当出现以下情况时，</w:t>
      </w:r>
      <w:bookmarkStart w:id="149" w:name="_Hlk55547896"/>
      <w:r>
        <w:rPr>
          <w:rFonts w:ascii="Times New Roman" w:hAnsi="Times New Roman" w:hint="eastAsia"/>
          <w:color w:val="000000" w:themeColor="text1"/>
          <w:sz w:val="24"/>
          <w:szCs w:val="24"/>
        </w:rPr>
        <w:t>受托人有权提前变现全部信托财产</w:t>
      </w:r>
      <w:bookmarkEnd w:id="149"/>
      <w:r>
        <w:rPr>
          <w:rFonts w:ascii="Times New Roman" w:hAnsi="Times New Roman" w:hint="eastAsia"/>
          <w:color w:val="000000" w:themeColor="text1"/>
          <w:sz w:val="24"/>
          <w:szCs w:val="24"/>
        </w:rPr>
        <w:t>：</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lastRenderedPageBreak/>
        <w:t>因证券市场波动、信托计划规模变动等因素导致信托计划的投资不符合信托文件约定的限制的；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现金形式的信托财产不足以支付应由信托计划承担的税费、费用的；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现金形式的信托财产不足以支付信托计划赎回款项的；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现金形式的信托财产不足以进行信托利益分配的；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发生信托计划提前终止情形的；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根据相关法律或监管部门的要求，必须买入或卖出部分投资品种；</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受托人基于信托财产管理运用的需要认为有必要进行交易的；</w:t>
      </w:r>
    </w:p>
    <w:p w:rsidR="00066166" w:rsidRDefault="00F62BD0">
      <w:pPr>
        <w:pStyle w:val="-11"/>
        <w:numPr>
          <w:ilvl w:val="0"/>
          <w:numId w:val="14"/>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本合同</w:t>
      </w:r>
      <w:r>
        <w:rPr>
          <w:rFonts w:ascii="Times New Roman" w:hAnsi="Times New Roman"/>
          <w:color w:val="000000" w:themeColor="text1"/>
          <w:sz w:val="24"/>
          <w:szCs w:val="24"/>
        </w:rPr>
        <w:t>约定的其他情形</w:t>
      </w:r>
      <w:r>
        <w:rPr>
          <w:rFonts w:ascii="Times New Roman" w:hAnsi="Times New Roman" w:hint="eastAsia"/>
          <w:color w:val="000000" w:themeColor="text1"/>
          <w:sz w:val="24"/>
          <w:szCs w:val="24"/>
        </w:rPr>
        <w:t>。</w:t>
      </w:r>
      <w:bookmarkEnd w:id="147"/>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bookmarkStart w:id="150" w:name="_Ref41420723"/>
      <w:r>
        <w:rPr>
          <w:rFonts w:ascii="Times New Roman" w:hAnsi="Times New Roman" w:hint="eastAsia"/>
          <w:color w:val="000000" w:themeColor="text1"/>
          <w:sz w:val="24"/>
          <w:szCs w:val="24"/>
        </w:rPr>
        <w:t>信托计划的预警线和止损线</w:t>
      </w:r>
      <w:bookmarkEnd w:id="150"/>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预警线为本信托计划</w:t>
      </w:r>
      <w:r>
        <w:rPr>
          <w:rFonts w:ascii="Times New Roman" w:hAnsi="Times New Roman"/>
          <w:color w:val="000000" w:themeColor="text1"/>
          <w:sz w:val="24"/>
          <w:szCs w:val="24"/>
        </w:rPr>
        <w:t>设定的用以启用预警风控措施的标准</w:t>
      </w:r>
      <w:r>
        <w:rPr>
          <w:rFonts w:ascii="Times New Roman" w:hAnsi="Times New Roman" w:hint="eastAsia"/>
          <w:color w:val="000000" w:themeColor="text1"/>
          <w:sz w:val="24"/>
          <w:szCs w:val="24"/>
        </w:rPr>
        <w:t>。本信托计划的预警线为【</w:t>
      </w:r>
      <w:r>
        <w:rPr>
          <w:rFonts w:ascii="Times New Roman" w:hAnsi="Times New Roman" w:hint="eastAsia"/>
          <w:color w:val="000000" w:themeColor="text1"/>
          <w:sz w:val="24"/>
          <w:szCs w:val="24"/>
        </w:rPr>
        <w:t>0.</w:t>
      </w:r>
      <w:r>
        <w:rPr>
          <w:rFonts w:ascii="Times New Roman" w:hAnsi="Times New Roman"/>
          <w:color w:val="000000" w:themeColor="text1"/>
          <w:sz w:val="24"/>
          <w:szCs w:val="24"/>
        </w:rPr>
        <w:t>96</w:t>
      </w:r>
      <w:r>
        <w:rPr>
          <w:rFonts w:ascii="Times New Roman" w:hAnsi="Times New Roman" w:hint="eastAsia"/>
          <w:color w:val="000000" w:themeColor="text1"/>
          <w:sz w:val="24"/>
          <w:szCs w:val="24"/>
        </w:rPr>
        <w:t>】</w:t>
      </w:r>
      <w:r>
        <w:rPr>
          <w:rFonts w:ascii="Times New Roman" w:hAnsi="宋体" w:hint="eastAsia"/>
          <w:color w:val="000000" w:themeColor="text1"/>
          <w:kern w:val="28"/>
          <w:sz w:val="24"/>
          <w:szCs w:val="20"/>
        </w:rPr>
        <w:t>元</w:t>
      </w:r>
      <w:r>
        <w:rPr>
          <w:rFonts w:ascii="Times New Roman" w:hAnsi="Times New Roman" w:hint="eastAsia"/>
          <w:color w:val="000000" w:themeColor="text1"/>
          <w:sz w:val="24"/>
          <w:szCs w:val="24"/>
        </w:rPr>
        <w:t>，</w:t>
      </w:r>
      <w:r>
        <w:rPr>
          <w:rFonts w:hint="eastAsia"/>
          <w:color w:val="000000" w:themeColor="text1"/>
          <w:sz w:val="24"/>
        </w:rPr>
        <w:t>以受托人</w:t>
      </w:r>
      <w:r>
        <w:rPr>
          <w:rFonts w:ascii="Times New Roman" w:hAnsi="Times New Roman" w:hint="eastAsia"/>
          <w:color w:val="000000" w:themeColor="text1"/>
          <w:sz w:val="24"/>
          <w:szCs w:val="24"/>
        </w:rPr>
        <w:t>T+</w:t>
      </w:r>
      <w:r>
        <w:rPr>
          <w:rFonts w:ascii="Times New Roman" w:hAnsi="Times New Roman"/>
          <w:color w:val="000000" w:themeColor="text1"/>
          <w:sz w:val="24"/>
          <w:szCs w:val="24"/>
        </w:rPr>
        <w:t>1</w:t>
      </w:r>
      <w:r>
        <w:rPr>
          <w:rFonts w:hint="eastAsia"/>
          <w:color w:val="000000" w:themeColor="text1"/>
          <w:sz w:val="24"/>
        </w:rPr>
        <w:t>交易日估算并与保管人进行核对的估值结果为依据</w:t>
      </w:r>
      <w:r>
        <w:rPr>
          <w:rFonts w:ascii="Times New Roman" w:hAnsi="Times New Roman" w:hint="eastAsia"/>
          <w:color w:val="000000" w:themeColor="text1"/>
          <w:sz w:val="24"/>
          <w:szCs w:val="24"/>
        </w:rPr>
        <w:t>。</w:t>
      </w:r>
    </w:p>
    <w:p w:rsidR="00066166" w:rsidRDefault="00F62BD0">
      <w:pPr>
        <w:pStyle w:val="-11"/>
        <w:numPr>
          <w:ilvl w:val="0"/>
          <w:numId w:val="15"/>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预警</w:t>
      </w:r>
    </w:p>
    <w:p w:rsidR="00066166" w:rsidRDefault="00F62BD0">
      <w:pPr>
        <w:pStyle w:val="-11"/>
        <w:snapToGrid w:val="0"/>
        <w:spacing w:beforeLines="100" w:before="312" w:afterLines="100" w:after="312" w:line="300" w:lineRule="auto"/>
        <w:ind w:left="1140" w:firstLineChars="0" w:firstLine="0"/>
        <w:rPr>
          <w:rFonts w:ascii="Times New Roman" w:hAnsi="宋体"/>
          <w:color w:val="000000" w:themeColor="text1"/>
          <w:kern w:val="28"/>
          <w:sz w:val="24"/>
          <w:szCs w:val="20"/>
        </w:rPr>
      </w:pPr>
      <w:bookmarkStart w:id="151" w:name="_Hlk22653763"/>
      <w:r>
        <w:rPr>
          <w:rFonts w:ascii="Times New Roman" w:hAnsi="宋体" w:hint="eastAsia"/>
          <w:color w:val="000000" w:themeColor="text1"/>
          <w:kern w:val="28"/>
          <w:sz w:val="24"/>
          <w:szCs w:val="20"/>
        </w:rPr>
        <w:t>本信托计划将</w:t>
      </w:r>
      <w:r>
        <w:rPr>
          <w:rFonts w:ascii="Times New Roman" w:hAnsi="宋体"/>
          <w:color w:val="000000" w:themeColor="text1"/>
          <w:kern w:val="28"/>
          <w:sz w:val="24"/>
          <w:szCs w:val="20"/>
        </w:rPr>
        <w:t>0.96</w:t>
      </w:r>
      <w:r>
        <w:rPr>
          <w:rFonts w:ascii="Times New Roman" w:hAnsi="宋体" w:hint="eastAsia"/>
          <w:color w:val="000000" w:themeColor="text1"/>
          <w:kern w:val="28"/>
          <w:sz w:val="24"/>
          <w:szCs w:val="20"/>
        </w:rPr>
        <w:t>元设置为信托计划的预警线。当信托计划存续期间的任一交易日（</w:t>
      </w:r>
      <w:r>
        <w:rPr>
          <w:rFonts w:ascii="Times New Roman" w:hAnsi="宋体"/>
          <w:color w:val="000000" w:themeColor="text1"/>
          <w:kern w:val="28"/>
          <w:sz w:val="24"/>
          <w:szCs w:val="20"/>
        </w:rPr>
        <w:t>T</w:t>
      </w:r>
      <w:r>
        <w:rPr>
          <w:rFonts w:ascii="Times New Roman" w:hAnsi="宋体" w:hint="eastAsia"/>
          <w:color w:val="000000" w:themeColor="text1"/>
          <w:kern w:val="28"/>
          <w:sz w:val="24"/>
          <w:szCs w:val="20"/>
        </w:rPr>
        <w:t>日）信托单位净值小于等于预警线时，本信托计划触发预警线，</w:t>
      </w:r>
      <w:bookmarkStart w:id="152" w:name="_Hlk75981918"/>
      <w:r>
        <w:rPr>
          <w:rFonts w:ascii="Times New Roman" w:hAnsi="宋体" w:hint="eastAsia"/>
          <w:color w:val="000000" w:themeColor="text1"/>
          <w:kern w:val="28"/>
          <w:sz w:val="24"/>
          <w:szCs w:val="20"/>
        </w:rPr>
        <w:t>受托人于</w:t>
      </w:r>
      <w:r>
        <w:rPr>
          <w:rFonts w:ascii="Times New Roman" w:hAnsi="宋体"/>
          <w:color w:val="000000" w:themeColor="text1"/>
          <w:kern w:val="28"/>
          <w:sz w:val="24"/>
          <w:szCs w:val="20"/>
        </w:rPr>
        <w:t>T</w:t>
      </w:r>
      <w:r>
        <w:rPr>
          <w:rFonts w:ascii="Times New Roman" w:hAnsi="宋体" w:hint="eastAsia"/>
          <w:color w:val="000000" w:themeColor="text1"/>
          <w:kern w:val="28"/>
          <w:sz w:val="24"/>
          <w:szCs w:val="20"/>
        </w:rPr>
        <w:t>日后的第</w:t>
      </w:r>
      <w:r>
        <w:rPr>
          <w:rFonts w:ascii="Times New Roman" w:hAnsi="宋体" w:hint="eastAsia"/>
          <w:color w:val="000000" w:themeColor="text1"/>
          <w:kern w:val="28"/>
          <w:sz w:val="24"/>
          <w:szCs w:val="20"/>
        </w:rPr>
        <w:t>1</w:t>
      </w:r>
      <w:r>
        <w:rPr>
          <w:rFonts w:ascii="Times New Roman" w:hAnsi="宋体" w:hint="eastAsia"/>
          <w:color w:val="000000" w:themeColor="text1"/>
          <w:kern w:val="28"/>
          <w:sz w:val="24"/>
          <w:szCs w:val="20"/>
        </w:rPr>
        <w:t>个交易日（</w:t>
      </w:r>
      <w:r>
        <w:rPr>
          <w:rFonts w:ascii="Times New Roman" w:hAnsi="宋体"/>
          <w:color w:val="000000" w:themeColor="text1"/>
          <w:kern w:val="28"/>
          <w:sz w:val="24"/>
          <w:szCs w:val="20"/>
        </w:rPr>
        <w:t>T+1</w:t>
      </w:r>
      <w:r>
        <w:rPr>
          <w:rFonts w:ascii="Times New Roman" w:hAnsi="宋体" w:hint="eastAsia"/>
          <w:color w:val="000000" w:themeColor="text1"/>
          <w:kern w:val="28"/>
          <w:sz w:val="24"/>
          <w:szCs w:val="20"/>
        </w:rPr>
        <w:t>日）与保管人完成估值核对后通过受托人网站公告向委托人</w:t>
      </w:r>
      <w:r>
        <w:rPr>
          <w:rFonts w:ascii="Times New Roman" w:hAnsi="宋体"/>
          <w:color w:val="000000" w:themeColor="text1"/>
          <w:kern w:val="28"/>
          <w:sz w:val="24"/>
          <w:szCs w:val="20"/>
        </w:rPr>
        <w:t>/</w:t>
      </w:r>
      <w:r>
        <w:rPr>
          <w:rFonts w:ascii="Times New Roman" w:hAnsi="宋体" w:hint="eastAsia"/>
          <w:color w:val="000000" w:themeColor="text1"/>
          <w:kern w:val="28"/>
          <w:sz w:val="24"/>
          <w:szCs w:val="20"/>
        </w:rPr>
        <w:t>受益人提示相关风险。若信托单位净值连续多个交易日触及或低于预警线的，受托人仅在首次触及预警线时按照本条约定进行信息披露</w:t>
      </w:r>
      <w:bookmarkEnd w:id="152"/>
      <w:r>
        <w:rPr>
          <w:rFonts w:ascii="Times New Roman" w:hAnsi="宋体" w:hint="eastAsia"/>
          <w:color w:val="000000" w:themeColor="text1"/>
          <w:kern w:val="28"/>
          <w:sz w:val="24"/>
          <w:szCs w:val="20"/>
        </w:rPr>
        <w:t>。</w:t>
      </w:r>
      <w:bookmarkEnd w:id="151"/>
    </w:p>
    <w:p w:rsidR="00066166" w:rsidRDefault="00F62BD0">
      <w:pPr>
        <w:pStyle w:val="-11"/>
        <w:numPr>
          <w:ilvl w:val="0"/>
          <w:numId w:val="15"/>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止损</w:t>
      </w:r>
    </w:p>
    <w:p w:rsidR="00066166" w:rsidRDefault="00F62BD0">
      <w:pPr>
        <w:pStyle w:val="-11"/>
        <w:snapToGrid w:val="0"/>
        <w:spacing w:beforeLines="100" w:before="312" w:afterLines="100" w:after="312" w:line="300" w:lineRule="auto"/>
        <w:ind w:left="1140" w:firstLineChars="0" w:firstLine="0"/>
        <w:rPr>
          <w:rFonts w:ascii="Times New Roman" w:hAnsi="宋体"/>
          <w:color w:val="000000" w:themeColor="text1"/>
          <w:kern w:val="28"/>
          <w:sz w:val="24"/>
          <w:szCs w:val="20"/>
        </w:rPr>
      </w:pPr>
      <w:bookmarkStart w:id="153" w:name="_Hlk22653771"/>
      <w:r>
        <w:rPr>
          <w:rFonts w:ascii="Times New Roman" w:hAnsi="宋体" w:hint="eastAsia"/>
          <w:color w:val="000000" w:themeColor="text1"/>
          <w:kern w:val="28"/>
          <w:sz w:val="24"/>
          <w:szCs w:val="20"/>
        </w:rPr>
        <w:t>本信托计划不设置止损线。</w:t>
      </w:r>
      <w:bookmarkEnd w:id="153"/>
    </w:p>
    <w:p w:rsidR="00066166" w:rsidRDefault="00F62BD0">
      <w:pPr>
        <w:pStyle w:val="-11"/>
        <w:snapToGrid w:val="0"/>
        <w:spacing w:beforeLines="100" w:before="312" w:afterLines="100" w:after="312" w:line="300" w:lineRule="auto"/>
        <w:ind w:left="1140" w:firstLineChars="0" w:firstLine="0"/>
        <w:rPr>
          <w:rFonts w:ascii="Times New Roman" w:hAnsi="Times New Roman"/>
          <w:bCs/>
          <w:color w:val="000000" w:themeColor="text1"/>
          <w:sz w:val="24"/>
          <w:szCs w:val="24"/>
        </w:rPr>
      </w:pPr>
      <w:bookmarkStart w:id="154" w:name="_Hlk22740744"/>
      <w:r>
        <w:rPr>
          <w:rFonts w:ascii="Times New Roman" w:hAnsi="Times New Roman" w:hint="eastAsia"/>
          <w:b/>
          <w:color w:val="000000" w:themeColor="text1"/>
          <w:sz w:val="24"/>
          <w:szCs w:val="24"/>
        </w:rPr>
        <w:t>全体委托人</w:t>
      </w: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受益人充分知悉并认可预警线的确定以</w:t>
      </w:r>
      <w:r>
        <w:rPr>
          <w:rFonts w:ascii="Times New Roman" w:hAnsi="Times New Roman"/>
          <w:b/>
          <w:color w:val="000000" w:themeColor="text1"/>
          <w:sz w:val="24"/>
          <w:szCs w:val="24"/>
        </w:rPr>
        <w:t>T+1</w:t>
      </w:r>
      <w:r>
        <w:rPr>
          <w:rFonts w:ascii="Times New Roman" w:hAnsi="Times New Roman" w:hint="eastAsia"/>
          <w:b/>
          <w:color w:val="000000" w:themeColor="text1"/>
          <w:sz w:val="24"/>
          <w:szCs w:val="24"/>
        </w:rPr>
        <w:t>日（估值日为</w:t>
      </w:r>
      <w:r>
        <w:rPr>
          <w:rFonts w:ascii="Times New Roman" w:hAnsi="Times New Roman" w:hint="eastAsia"/>
          <w:b/>
          <w:color w:val="000000" w:themeColor="text1"/>
          <w:sz w:val="24"/>
          <w:szCs w:val="24"/>
        </w:rPr>
        <w:t>T</w:t>
      </w:r>
      <w:r>
        <w:rPr>
          <w:rFonts w:ascii="Times New Roman" w:hAnsi="Times New Roman" w:hint="eastAsia"/>
          <w:b/>
          <w:color w:val="000000" w:themeColor="text1"/>
          <w:sz w:val="24"/>
          <w:szCs w:val="24"/>
        </w:rPr>
        <w:t>日）的估值结果</w:t>
      </w:r>
      <w:bookmarkStart w:id="155" w:name="_Hlk75981927"/>
      <w:r>
        <w:rPr>
          <w:rFonts w:ascii="Times New Roman" w:hAnsi="Times New Roman" w:hint="eastAsia"/>
          <w:b/>
          <w:color w:val="000000" w:themeColor="text1"/>
          <w:sz w:val="24"/>
          <w:szCs w:val="24"/>
        </w:rPr>
        <w:t>为参考</w:t>
      </w:r>
      <w:bookmarkEnd w:id="155"/>
      <w:r>
        <w:rPr>
          <w:rFonts w:ascii="Times New Roman" w:hAnsi="Times New Roman" w:hint="eastAsia"/>
          <w:b/>
          <w:color w:val="000000" w:themeColor="text1"/>
          <w:sz w:val="24"/>
          <w:szCs w:val="24"/>
        </w:rPr>
        <w:t>。如因标的资管产品管理人或其授权的第</w:t>
      </w:r>
      <w:r>
        <w:rPr>
          <w:rFonts w:ascii="Times New Roman" w:hAnsi="Times New Roman" w:hint="eastAsia"/>
          <w:b/>
          <w:color w:val="000000" w:themeColor="text1"/>
          <w:sz w:val="24"/>
          <w:szCs w:val="24"/>
        </w:rPr>
        <w:lastRenderedPageBreak/>
        <w:t>三方发送净值的时间延迟造成受托人估值时间的递延情况，与受托人无关。委托人自愿承担因估值误差而产生的所有风险。委托人知悉和认可预警线的设置，知悉和认可触发预警线的情况下受托人的风险提示操作；知悉并认可本信托计划不设止损线，并自愿承担由此产生的风险和同意豁免受托人的相应管理责任</w:t>
      </w:r>
      <w:r>
        <w:rPr>
          <w:rFonts w:ascii="Times New Roman" w:hAnsi="Times New Roman" w:hint="eastAsia"/>
          <w:bCs/>
          <w:color w:val="000000" w:themeColor="text1"/>
          <w:sz w:val="24"/>
          <w:szCs w:val="24"/>
        </w:rPr>
        <w:t>。</w:t>
      </w:r>
      <w:bookmarkEnd w:id="134"/>
      <w:bookmarkEnd w:id="154"/>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信托财产</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信托计划项下的信托财产包括但不限于以下财产：</w:t>
      </w:r>
    </w:p>
    <w:p w:rsidR="00066166" w:rsidRDefault="00F62BD0">
      <w:pPr>
        <w:pStyle w:val="NormalJustified"/>
        <w:widowControl w:val="0"/>
        <w:numPr>
          <w:ilvl w:val="0"/>
          <w:numId w:val="16"/>
        </w:numPr>
        <w:spacing w:beforeLines="100" w:before="312" w:afterLines="100" w:after="312" w:line="300" w:lineRule="auto"/>
        <w:rPr>
          <w:color w:val="000000" w:themeColor="text1"/>
          <w:kern w:val="2"/>
          <w:szCs w:val="24"/>
        </w:rPr>
      </w:pPr>
      <w:r>
        <w:rPr>
          <w:color w:val="000000" w:themeColor="text1"/>
          <w:kern w:val="2"/>
          <w:szCs w:val="24"/>
        </w:rPr>
        <w:t>信托资金；</w:t>
      </w:r>
    </w:p>
    <w:p w:rsidR="00066166" w:rsidRDefault="00F62BD0">
      <w:pPr>
        <w:pStyle w:val="NormalJustified"/>
        <w:widowControl w:val="0"/>
        <w:numPr>
          <w:ilvl w:val="0"/>
          <w:numId w:val="16"/>
        </w:numPr>
        <w:spacing w:beforeLines="100" w:before="312" w:afterLines="100" w:after="312" w:line="300" w:lineRule="auto"/>
        <w:rPr>
          <w:color w:val="000000" w:themeColor="text1"/>
          <w:kern w:val="2"/>
          <w:szCs w:val="24"/>
        </w:rPr>
      </w:pPr>
      <w:r>
        <w:rPr>
          <w:color w:val="000000" w:themeColor="text1"/>
          <w:kern w:val="2"/>
          <w:szCs w:val="24"/>
        </w:rPr>
        <w:t>对信托资金进行管理、运用、处分或者因其他情形而形成的财产。</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56" w:name="_Toc239215479"/>
      <w:bookmarkStart w:id="157" w:name="_Toc164487824"/>
      <w:bookmarkEnd w:id="156"/>
      <w:r>
        <w:rPr>
          <w:rFonts w:ascii="Times New Roman" w:eastAsia="宋体" w:hAnsi="Times New Roman"/>
          <w:color w:val="000000" w:themeColor="text1"/>
          <w:sz w:val="24"/>
          <w:szCs w:val="24"/>
        </w:rPr>
        <w:t>管理权限</w:t>
      </w:r>
      <w:bookmarkEnd w:id="157"/>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受托人应在信托合同约定的范围内，按照忠诚、谨慎的原则管理信托财产，并根据这一原则决定具体的管理事项。</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受托人的管理权限包括但不限于：</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自信托计划成立日起，根据法律规定和信托文件及其他交易文件的约定运用并管理信托财产；</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依据信托合同及有关法律规定监督保管人，如认为保管人违反了信托合同及国家有关法律规定，应呈报银保监会和其他监管部门，并采取必要措施保护受益人的利益；</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更换保管人；</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依照法律规定为受益人的利益行使因信托财产投资所产生的权利；</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以受托人的名义，代表受益人的利益行使诉讼权利或者实施其他法律行为；</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选择、更换</w:t>
      </w:r>
      <w:r>
        <w:rPr>
          <w:rFonts w:hint="eastAsia"/>
          <w:color w:val="000000" w:themeColor="text1"/>
          <w:kern w:val="2"/>
          <w:szCs w:val="24"/>
        </w:rPr>
        <w:t>监管银行（如有）、</w:t>
      </w:r>
      <w:r>
        <w:rPr>
          <w:color w:val="000000" w:themeColor="text1"/>
          <w:kern w:val="2"/>
          <w:szCs w:val="24"/>
        </w:rPr>
        <w:t>律师、会计师、其他中介机构或其他为信托计划提供服务的外部机构；</w:t>
      </w:r>
    </w:p>
    <w:p w:rsidR="00066166" w:rsidRDefault="00F62BD0">
      <w:pPr>
        <w:pStyle w:val="NormalJustified"/>
        <w:widowControl w:val="0"/>
        <w:numPr>
          <w:ilvl w:val="0"/>
          <w:numId w:val="17"/>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lastRenderedPageBreak/>
        <w:t>法律规定和信托文件约定的其他权利。</w:t>
      </w:r>
    </w:p>
    <w:p w:rsidR="00066166" w:rsidRDefault="00F62BD0">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r>
        <w:rPr>
          <w:rFonts w:hint="eastAsia"/>
          <w:b/>
          <w:bCs/>
          <w:color w:val="000000" w:themeColor="text1"/>
          <w:kern w:val="2"/>
          <w:szCs w:val="24"/>
        </w:rPr>
        <w:t>全体委托人</w:t>
      </w:r>
      <w:r>
        <w:rPr>
          <w:b/>
          <w:bCs/>
          <w:color w:val="000000" w:themeColor="text1"/>
          <w:kern w:val="2"/>
          <w:szCs w:val="24"/>
        </w:rPr>
        <w:t>/</w:t>
      </w:r>
      <w:r>
        <w:rPr>
          <w:rFonts w:hint="eastAsia"/>
          <w:b/>
          <w:bCs/>
          <w:color w:val="000000" w:themeColor="text1"/>
          <w:kern w:val="2"/>
          <w:szCs w:val="24"/>
        </w:rPr>
        <w:t>受益人一致确认并同意：信托计划涉及诉讼</w:t>
      </w:r>
      <w:r>
        <w:rPr>
          <w:rFonts w:hint="eastAsia"/>
          <w:b/>
          <w:bCs/>
          <w:color w:val="000000" w:themeColor="text1"/>
          <w:kern w:val="2"/>
          <w:szCs w:val="24"/>
        </w:rPr>
        <w:t>/</w:t>
      </w:r>
      <w:r>
        <w:rPr>
          <w:rFonts w:hint="eastAsia"/>
          <w:b/>
          <w:bCs/>
          <w:color w:val="000000" w:themeColor="text1"/>
          <w:kern w:val="2"/>
          <w:szCs w:val="24"/>
        </w:rPr>
        <w:t>仲裁时，受托人根据受益人大会决议确定诉讼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策略和方案。受益人大会未及时出具相关决议的，由此造成的风险由信托财产承担。如信托财产有相应现金资产的，因诉讼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产生的费用由信托财产承担，如信托财产不足以支付的，由委托人自行垫付，因委托人未及时垫付导致信托财产遭受损失的，由委托人</w:t>
      </w:r>
      <w:r>
        <w:rPr>
          <w:b/>
          <w:bCs/>
          <w:color w:val="000000" w:themeColor="text1"/>
          <w:kern w:val="2"/>
          <w:szCs w:val="24"/>
        </w:rPr>
        <w:t>/</w:t>
      </w:r>
      <w:r>
        <w:rPr>
          <w:rFonts w:hint="eastAsia"/>
          <w:b/>
          <w:bCs/>
          <w:color w:val="000000" w:themeColor="text1"/>
          <w:kern w:val="2"/>
          <w:szCs w:val="24"/>
        </w:rPr>
        <w:t>受益人自行承担，受托人对任何诉讼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费用不予垫付，且延期期间受托人有权继续收取信托报酬。</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58" w:name="_Ref41268550"/>
      <w:r>
        <w:rPr>
          <w:rFonts w:ascii="Times New Roman" w:eastAsia="宋体" w:hAnsi="Times New Roman" w:hint="eastAsia"/>
          <w:color w:val="000000" w:themeColor="text1"/>
          <w:sz w:val="24"/>
          <w:szCs w:val="24"/>
        </w:rPr>
        <w:t>信保基金服务信托</w:t>
      </w:r>
      <w:bookmarkEnd w:id="158"/>
    </w:p>
    <w:p w:rsidR="00066166" w:rsidRDefault="00F62BD0">
      <w:pPr>
        <w:pStyle w:val="NormalJustified"/>
        <w:widowControl w:val="0"/>
        <w:tabs>
          <w:tab w:val="left" w:pos="567"/>
          <w:tab w:val="left" w:pos="720"/>
          <w:tab w:val="left" w:pos="851"/>
          <w:tab w:val="left" w:pos="2552"/>
        </w:tabs>
        <w:spacing w:beforeLines="100" w:before="312" w:afterLines="100" w:after="312" w:line="300" w:lineRule="auto"/>
        <w:ind w:left="720"/>
        <w:rPr>
          <w:szCs w:val="24"/>
        </w:rPr>
      </w:pPr>
      <w:r>
        <w:rPr>
          <w:rFonts w:hint="eastAsia"/>
          <w:szCs w:val="24"/>
        </w:rPr>
        <w:t>委托人、受益人知悉并认可，信托财产的管理运用方式包括认购信保基金服务信托（以下简称“服务信托”）项下信托单位，受托人将代表本信托计划作为服务信托的委托人签署服务信托文件，委托人</w:t>
      </w:r>
      <w:r>
        <w:rPr>
          <w:rFonts w:hint="eastAsia"/>
          <w:szCs w:val="24"/>
        </w:rPr>
        <w:t>/</w:t>
      </w:r>
      <w:r>
        <w:rPr>
          <w:rFonts w:hint="eastAsia"/>
          <w:szCs w:val="24"/>
        </w:rPr>
        <w:t>受益人有权查阅、抄录或者复制服务信托文件。受托人定期核算并将信托财产中金额等值于</w:t>
      </w:r>
      <w:r>
        <w:rPr>
          <w:rFonts w:hint="eastAsia"/>
          <w:color w:val="000000" w:themeColor="text1"/>
        </w:rPr>
        <w:t>认购（申购）资金</w:t>
      </w:r>
      <w:r>
        <w:rPr>
          <w:rFonts w:hint="eastAsia"/>
          <w:color w:val="000000" w:themeColor="text1"/>
        </w:rPr>
        <w:t>规模</w:t>
      </w:r>
      <w:r>
        <w:rPr>
          <w:rFonts w:hint="eastAsia"/>
          <w:color w:val="000000" w:themeColor="text1"/>
        </w:rPr>
        <w:t>的</w:t>
      </w:r>
      <w:r>
        <w:rPr>
          <w:rFonts w:hint="eastAsia"/>
          <w:color w:val="000000" w:themeColor="text1"/>
        </w:rPr>
        <w:t>1%</w:t>
      </w:r>
      <w:r>
        <w:rPr>
          <w:rFonts w:hint="eastAsia"/>
          <w:color w:val="000000" w:themeColor="text1"/>
        </w:rPr>
        <w:t>的款项</w:t>
      </w:r>
      <w:r>
        <w:rPr>
          <w:rFonts w:hint="eastAsia"/>
          <w:szCs w:val="24"/>
        </w:rPr>
        <w:t>缴入《五矿信托</w:t>
      </w:r>
      <w:r>
        <w:rPr>
          <w:rFonts w:hint="eastAsia"/>
          <w:szCs w:val="24"/>
        </w:rPr>
        <w:t>-</w:t>
      </w:r>
      <w:r>
        <w:rPr>
          <w:rFonts w:hint="eastAsia"/>
          <w:szCs w:val="24"/>
        </w:rPr>
        <w:t>信保基金服务信托确认书》约定的账户（以下简称“服务信托专户”），该等款项最终由服务信托用于认购信托业保障基金及服务信托文件约定的其他用途。</w:t>
      </w:r>
    </w:p>
    <w:p w:rsidR="00066166" w:rsidRDefault="00F62BD0">
      <w:pPr>
        <w:pStyle w:val="NormalJustified"/>
        <w:widowControl w:val="0"/>
        <w:tabs>
          <w:tab w:val="left" w:pos="720"/>
          <w:tab w:val="left" w:pos="851"/>
          <w:tab w:val="left" w:pos="2127"/>
          <w:tab w:val="left" w:pos="2552"/>
        </w:tabs>
        <w:spacing w:beforeLines="100" w:before="312" w:afterLines="100" w:after="312" w:line="300" w:lineRule="auto"/>
        <w:ind w:left="720"/>
        <w:rPr>
          <w:color w:val="000000" w:themeColor="text1"/>
          <w:szCs w:val="24"/>
        </w:rPr>
      </w:pPr>
      <w:r>
        <w:rPr>
          <w:rFonts w:hint="eastAsia"/>
          <w:szCs w:val="24"/>
        </w:rPr>
        <w:t>上述款项是本信托计划项下信托资金的一部分，</w:t>
      </w:r>
      <w:r>
        <w:rPr>
          <w:rFonts w:hint="eastAsia"/>
        </w:rPr>
        <w:t>为避免歧义，委托人、受益人确认，上述款项缴付并不改变本信托计划项下信托利益、信托费用的计算基准。</w:t>
      </w:r>
      <w:r>
        <w:rPr>
          <w:rFonts w:hint="eastAsia"/>
          <w:kern w:val="0"/>
        </w:rPr>
        <w:t>服务信托按照服务信托文件将服务信托项下信托利益从服务信托专户划付至本信托计划项下信托财产专户，服务信托项下信托利益的计算、分配条件等事项具体以服务信托文件约定为准。受托人从服务信托项下获得的信托利益于实收日计入信托财产</w:t>
      </w:r>
      <w:r>
        <w:rPr>
          <w:rFonts w:hint="eastAsia"/>
          <w:kern w:val="0"/>
        </w:rPr>
        <w:t>并</w:t>
      </w:r>
      <w:r>
        <w:rPr>
          <w:rFonts w:hint="eastAsia"/>
        </w:rPr>
        <w:t>按照《信托合同》进行分配。</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w:t>
      </w:r>
      <w:r>
        <w:rPr>
          <w:rFonts w:ascii="Times New Roman" w:eastAsia="宋体" w:hAnsi="Times New Roman" w:hint="eastAsia"/>
          <w:color w:val="000000" w:themeColor="text1"/>
          <w:sz w:val="24"/>
          <w:szCs w:val="24"/>
        </w:rPr>
        <w:t>财产</w:t>
      </w:r>
      <w:r>
        <w:rPr>
          <w:rFonts w:ascii="Times New Roman" w:eastAsia="宋体" w:hAnsi="Times New Roman"/>
          <w:color w:val="000000" w:themeColor="text1"/>
          <w:sz w:val="24"/>
          <w:szCs w:val="24"/>
        </w:rPr>
        <w:t>的保管</w:t>
      </w:r>
    </w:p>
    <w:p w:rsidR="00066166" w:rsidRDefault="00F62BD0">
      <w:pPr>
        <w:pStyle w:val="NormalJustified"/>
        <w:widowControl w:val="0"/>
        <w:numPr>
          <w:ilvl w:val="0"/>
          <w:numId w:val="18"/>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本信托计划信托财产所投资的证券品种按照法律的规定登记在相关机构。</w:t>
      </w:r>
    </w:p>
    <w:p w:rsidR="00066166" w:rsidRDefault="00F62BD0">
      <w:pPr>
        <w:pStyle w:val="NormalJustified"/>
        <w:widowControl w:val="0"/>
        <w:numPr>
          <w:ilvl w:val="0"/>
          <w:numId w:val="18"/>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受托人委托保管人保管信托财产专户内的资金，具体事宜由受托人和保管人签署《保管协议》进行约定。</w:t>
      </w:r>
    </w:p>
    <w:p w:rsidR="00066166" w:rsidRDefault="00F62BD0">
      <w:pPr>
        <w:pStyle w:val="NormalJustified"/>
        <w:widowControl w:val="0"/>
        <w:numPr>
          <w:ilvl w:val="0"/>
          <w:numId w:val="18"/>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其他资产由受托人决定是否由第三方进行保管及相应保管方式。</w:t>
      </w:r>
    </w:p>
    <w:p w:rsidR="00066166" w:rsidRDefault="00F62BD0">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r>
        <w:rPr>
          <w:b/>
          <w:kern w:val="2"/>
          <w:szCs w:val="24"/>
        </w:rPr>
        <w:lastRenderedPageBreak/>
        <w:t>特别提示：</w:t>
      </w:r>
      <w:r>
        <w:rPr>
          <w:rFonts w:hint="eastAsia"/>
          <w:b/>
          <w:kern w:val="2"/>
          <w:szCs w:val="24"/>
        </w:rPr>
        <w:t>受托人</w:t>
      </w:r>
      <w:r>
        <w:rPr>
          <w:b/>
          <w:kern w:val="2"/>
          <w:szCs w:val="24"/>
        </w:rPr>
        <w:t>、</w:t>
      </w:r>
      <w:r>
        <w:rPr>
          <w:rFonts w:hint="eastAsia"/>
          <w:b/>
          <w:kern w:val="2"/>
          <w:szCs w:val="24"/>
        </w:rPr>
        <w:t>证券投资信托业务人员、标的资管产品管理人</w:t>
      </w:r>
      <w:r>
        <w:rPr>
          <w:b/>
          <w:kern w:val="2"/>
          <w:szCs w:val="24"/>
        </w:rPr>
        <w:t>等相关机构和人员的过往业绩不代表信托产品未来运作的实际效果</w:t>
      </w:r>
      <w:r>
        <w:rPr>
          <w:rFonts w:hint="eastAsia"/>
          <w:b/>
          <w:kern w:val="2"/>
          <w:szCs w:val="24"/>
        </w:rPr>
        <w:t>。</w:t>
      </w:r>
    </w:p>
    <w:p w:rsidR="00066166" w:rsidRDefault="00066166">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p>
    <w:p w:rsidR="00066166" w:rsidRDefault="00F62BD0">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59" w:name="_Toc91143609"/>
      <w:r>
        <w:rPr>
          <w:color w:val="000000" w:themeColor="text1"/>
          <w:sz w:val="24"/>
          <w:szCs w:val="24"/>
        </w:rPr>
        <w:t>信托</w:t>
      </w:r>
      <w:r>
        <w:rPr>
          <w:rFonts w:hint="eastAsia"/>
          <w:color w:val="000000" w:themeColor="text1"/>
          <w:sz w:val="24"/>
          <w:szCs w:val="24"/>
        </w:rPr>
        <w:t>财产的估值</w:t>
      </w:r>
      <w:bookmarkEnd w:id="159"/>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估值对象</w:t>
      </w:r>
    </w:p>
    <w:p w:rsidR="00066166" w:rsidRDefault="00F62BD0">
      <w:pPr>
        <w:ind w:firstLineChars="200" w:firstLine="480"/>
        <w:rPr>
          <w:rFonts w:hAnsi="宋体"/>
          <w:color w:val="000000" w:themeColor="text1"/>
          <w:kern w:val="28"/>
          <w:sz w:val="24"/>
          <w:szCs w:val="20"/>
        </w:rPr>
      </w:pPr>
      <w:r>
        <w:rPr>
          <w:rFonts w:hAnsi="宋体"/>
          <w:color w:val="000000" w:themeColor="text1"/>
          <w:kern w:val="28"/>
          <w:sz w:val="24"/>
          <w:szCs w:val="20"/>
        </w:rPr>
        <w:t>本信托计划持有的各类资产</w:t>
      </w:r>
      <w:r>
        <w:rPr>
          <w:rFonts w:hAnsi="宋体" w:hint="eastAsia"/>
          <w:color w:val="000000" w:themeColor="text1"/>
          <w:kern w:val="28"/>
          <w:sz w:val="24"/>
          <w:szCs w:val="20"/>
        </w:rPr>
        <w:t>。</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估值程序</w:t>
      </w:r>
    </w:p>
    <w:p w:rsidR="00066166" w:rsidRDefault="00F62BD0">
      <w:pPr>
        <w:pStyle w:val="NormalJustified"/>
        <w:widowControl w:val="0"/>
        <w:spacing w:beforeLines="100" w:before="312" w:afterLines="100" w:after="312" w:line="300" w:lineRule="auto"/>
        <w:ind w:left="720"/>
        <w:rPr>
          <w:rFonts w:hAnsi="宋体"/>
          <w:color w:val="000000" w:themeColor="text1"/>
        </w:rPr>
      </w:pPr>
      <w:bookmarkStart w:id="160" w:name="_Hlk48677087"/>
      <w:r>
        <w:rPr>
          <w:rFonts w:hAnsi="宋体" w:hint="eastAsia"/>
          <w:color w:val="000000" w:themeColor="text1"/>
        </w:rPr>
        <w:t>信托计划成立后，</w:t>
      </w:r>
      <w:bookmarkStart w:id="161" w:name="_Hlk49783004"/>
      <w:bookmarkStart w:id="162" w:name="_Hlk23845633"/>
      <w:r>
        <w:rPr>
          <w:rFonts w:hAnsi="宋体" w:hint="eastAsia"/>
          <w:color w:val="000000" w:themeColor="text1"/>
        </w:rPr>
        <w:t>由受托人与保管人于每个交易日（</w:t>
      </w:r>
      <w:r>
        <w:rPr>
          <w:rFonts w:hAnsi="宋体"/>
          <w:color w:val="000000" w:themeColor="text1"/>
        </w:rPr>
        <w:t>T</w:t>
      </w:r>
      <w:r>
        <w:rPr>
          <w:rFonts w:hAnsi="宋体" w:hint="eastAsia"/>
          <w:color w:val="000000" w:themeColor="text1"/>
        </w:rPr>
        <w:t>日）后第</w:t>
      </w:r>
      <w:r>
        <w:rPr>
          <w:rFonts w:hAnsi="宋体" w:hint="eastAsia"/>
          <w:color w:val="000000" w:themeColor="text1"/>
        </w:rPr>
        <w:t>1</w:t>
      </w:r>
      <w:r>
        <w:rPr>
          <w:rFonts w:hAnsi="宋体" w:hint="eastAsia"/>
          <w:color w:val="000000" w:themeColor="text1"/>
        </w:rPr>
        <w:t>个交易日（</w:t>
      </w:r>
      <w:r>
        <w:rPr>
          <w:rFonts w:hAnsi="宋体"/>
          <w:color w:val="000000" w:themeColor="text1"/>
        </w:rPr>
        <w:t>T+1</w:t>
      </w:r>
      <w:r>
        <w:rPr>
          <w:rFonts w:hAnsi="宋体" w:hint="eastAsia"/>
          <w:color w:val="000000" w:themeColor="text1"/>
        </w:rPr>
        <w:t>日）对</w:t>
      </w:r>
      <w:r>
        <w:rPr>
          <w:rFonts w:hAnsi="宋体"/>
          <w:color w:val="000000" w:themeColor="text1"/>
        </w:rPr>
        <w:t>T</w:t>
      </w:r>
      <w:r>
        <w:rPr>
          <w:rFonts w:hAnsi="宋体" w:hint="eastAsia"/>
          <w:color w:val="000000" w:themeColor="text1"/>
        </w:rPr>
        <w:t>日的信托财产进行估值。受托人完成信托财产的估值后将估值结果发送给保管人，保管人在收到估值结果后进行复核，并在当日将复核结果回传给受托人</w:t>
      </w:r>
      <w:bookmarkEnd w:id="161"/>
      <w:r>
        <w:rPr>
          <w:rFonts w:hAnsi="宋体" w:hint="eastAsia"/>
          <w:color w:val="000000" w:themeColor="text1"/>
        </w:rPr>
        <w:t>。</w:t>
      </w:r>
      <w:bookmarkEnd w:id="162"/>
      <w:r>
        <w:rPr>
          <w:rFonts w:hAnsi="宋体"/>
          <w:color w:val="000000" w:themeColor="text1"/>
        </w:rPr>
        <w:t>受托人于</w:t>
      </w:r>
      <w:r>
        <w:rPr>
          <w:rFonts w:hAnsi="宋体" w:hint="eastAsia"/>
          <w:color w:val="000000" w:themeColor="text1"/>
        </w:rPr>
        <w:t>每周的前</w:t>
      </w:r>
      <w:r>
        <w:rPr>
          <w:rFonts w:hAnsi="宋体" w:hint="eastAsia"/>
          <w:color w:val="000000" w:themeColor="text1"/>
          <w:lang w:eastAsia="zh-Hans"/>
        </w:rPr>
        <w:t>三</w:t>
      </w:r>
      <w:r>
        <w:rPr>
          <w:rFonts w:hAnsi="宋体"/>
          <w:color w:val="000000" w:themeColor="text1"/>
        </w:rPr>
        <w:t>个</w:t>
      </w:r>
      <w:r>
        <w:rPr>
          <w:rFonts w:hAnsi="宋体" w:hint="eastAsia"/>
          <w:color w:val="000000" w:themeColor="text1"/>
        </w:rPr>
        <w:t>交易日</w:t>
      </w:r>
      <w:r>
        <w:rPr>
          <w:rFonts w:hAnsi="宋体"/>
          <w:color w:val="000000" w:themeColor="text1"/>
        </w:rPr>
        <w:t>内</w:t>
      </w:r>
      <w:r>
        <w:rPr>
          <w:rFonts w:hAnsi="宋体" w:hint="eastAsia"/>
          <w:color w:val="000000" w:themeColor="text1"/>
        </w:rPr>
        <w:t>在</w:t>
      </w:r>
      <w:r>
        <w:rPr>
          <w:rFonts w:hAnsi="宋体"/>
          <w:color w:val="000000" w:themeColor="text1"/>
        </w:rPr>
        <w:t>受托人</w:t>
      </w:r>
      <w:r>
        <w:rPr>
          <w:rFonts w:hAnsi="宋体" w:hint="eastAsia"/>
          <w:color w:val="000000" w:themeColor="text1"/>
        </w:rPr>
        <w:t>网站（</w:t>
      </w:r>
      <w:r>
        <w:rPr>
          <w:rFonts w:hAnsi="宋体" w:hint="eastAsia"/>
          <w:color w:val="000000" w:themeColor="text1"/>
        </w:rPr>
        <w:t>http://www.mintrust.com</w:t>
      </w:r>
      <w:r>
        <w:rPr>
          <w:rFonts w:hAnsi="宋体" w:hint="eastAsia"/>
          <w:color w:val="000000" w:themeColor="text1"/>
        </w:rPr>
        <w:t>）上公布上周最后一个交易日</w:t>
      </w:r>
      <w:r>
        <w:rPr>
          <w:rFonts w:hAnsi="宋体"/>
          <w:color w:val="000000" w:themeColor="text1"/>
        </w:rPr>
        <w:t>的信托单位净值</w:t>
      </w:r>
      <w:r>
        <w:rPr>
          <w:rFonts w:hAnsi="宋体" w:hint="eastAsia"/>
          <w:color w:val="000000" w:themeColor="text1"/>
        </w:rPr>
        <w:t>，并</w:t>
      </w:r>
      <w:r>
        <w:rPr>
          <w:rFonts w:hAnsi="宋体" w:hint="eastAsia"/>
          <w:color w:val="000000"/>
          <w:lang w:eastAsia="zh-Hans"/>
        </w:rPr>
        <w:t>在每月的前三个交易日内在受托人网站上公布上月最后一个交易日的信托单位净值</w:t>
      </w:r>
      <w:r>
        <w:rPr>
          <w:rFonts w:hAnsi="宋体"/>
          <w:color w:val="000000"/>
          <w:lang w:eastAsia="zh-Hans"/>
        </w:rPr>
        <w:t>。</w:t>
      </w:r>
      <w:r>
        <w:rPr>
          <w:rFonts w:hAnsi="宋体" w:hint="eastAsia"/>
          <w:color w:val="000000" w:themeColor="text1"/>
        </w:rPr>
        <w:t>如因系统故障等客观原因或标的资管产品管理人或其授权的第三方发送净值的时间延迟导致受托人无法及时披露信托财产净值和信托单位净值的，受托人应</w:t>
      </w:r>
      <w:r>
        <w:rPr>
          <w:rFonts w:hAnsi="宋体" w:hint="eastAsia"/>
          <w:color w:val="000000" w:themeColor="text1"/>
        </w:rPr>
        <w:t>于该等故障或原因排除后及时披露估值结果。</w:t>
      </w:r>
      <w:bookmarkEnd w:id="160"/>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当受托人与保管人的估值结果不一致时，各方应本着勤勉尽责的态度重新计算核对。如经相关各方在平等基础上充分讨论后，仍无法达成一致的意见，以受托人对信托财产净值、信托单位净值的计算结果为准。</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估值方法</w:t>
      </w:r>
    </w:p>
    <w:p w:rsidR="00066166" w:rsidRDefault="00F62BD0">
      <w:pPr>
        <w:pStyle w:val="NormalJustified"/>
        <w:spacing w:beforeLines="100" w:before="312" w:afterLines="100" w:after="312" w:line="300" w:lineRule="auto"/>
        <w:ind w:leftChars="342" w:left="718"/>
        <w:rPr>
          <w:rFonts w:hAnsi="宋体"/>
          <w:color w:val="000000" w:themeColor="text1"/>
        </w:rPr>
      </w:pPr>
      <w:r>
        <w:rPr>
          <w:rFonts w:hAnsi="宋体" w:hint="eastAsia"/>
          <w:color w:val="000000" w:themeColor="text1"/>
        </w:rPr>
        <w:t>本信托计划根据资产不同采取不同的估值方式，具体如下：</w:t>
      </w:r>
    </w:p>
    <w:p w:rsidR="00066166" w:rsidRDefault="00F62BD0">
      <w:pPr>
        <w:pStyle w:val="NormalJustified"/>
        <w:numPr>
          <w:ilvl w:val="0"/>
          <w:numId w:val="19"/>
        </w:numPr>
        <w:spacing w:beforeLines="100" w:before="312" w:afterLines="100" w:after="312" w:line="300" w:lineRule="auto"/>
        <w:rPr>
          <w:rFonts w:ascii="宋体" w:hAnsi="宋体"/>
          <w:color w:val="000000" w:themeColor="text1"/>
        </w:rPr>
      </w:pPr>
      <w:r>
        <w:rPr>
          <w:rFonts w:ascii="宋体" w:hAnsi="宋体" w:hint="eastAsia"/>
          <w:color w:val="000000" w:themeColor="text1"/>
        </w:rPr>
        <w:t>标的资管产品根据管理人或其授权的第三方披露的单位净值计算其未来可实现收益作为其公允价值，如无当日单位净值的，按可取得的最近工作日的单位净值进行估值</w:t>
      </w:r>
      <w:r>
        <w:rPr>
          <w:rFonts w:ascii="宋体" w:hAnsi="宋体"/>
          <w:color w:val="000000" w:themeColor="text1"/>
        </w:rPr>
        <w:t>。</w:t>
      </w:r>
    </w:p>
    <w:p w:rsidR="00066166" w:rsidRDefault="00F62BD0">
      <w:pPr>
        <w:pStyle w:val="NormalJustified"/>
        <w:numPr>
          <w:ilvl w:val="0"/>
          <w:numId w:val="19"/>
        </w:numPr>
        <w:spacing w:beforeLines="100" w:before="312" w:afterLines="100" w:after="312" w:line="300" w:lineRule="auto"/>
        <w:rPr>
          <w:rFonts w:ascii="宋体" w:hAnsi="宋体"/>
          <w:color w:val="000000" w:themeColor="text1"/>
        </w:rPr>
      </w:pPr>
      <w:r>
        <w:rPr>
          <w:rFonts w:ascii="宋体" w:hAnsi="宋体" w:hint="eastAsia"/>
          <w:color w:val="000000" w:themeColor="text1"/>
          <w:szCs w:val="24"/>
        </w:rPr>
        <w:t>银行存款以实际本金列示，利息于结息日实收利息计入信托财产；</w:t>
      </w:r>
    </w:p>
    <w:p w:rsidR="00066166" w:rsidRDefault="00F62BD0">
      <w:pPr>
        <w:pStyle w:val="NormalJustified"/>
        <w:numPr>
          <w:ilvl w:val="0"/>
          <w:numId w:val="19"/>
        </w:numPr>
        <w:spacing w:beforeLines="100" w:before="312" w:afterLines="100" w:after="312" w:line="300" w:lineRule="auto"/>
        <w:rPr>
          <w:rFonts w:ascii="宋体" w:hAnsi="宋体"/>
          <w:color w:val="000000" w:themeColor="text1"/>
        </w:rPr>
      </w:pPr>
      <w:r>
        <w:rPr>
          <w:rFonts w:ascii="宋体" w:hAnsi="宋体" w:hint="eastAsia"/>
          <w:color w:val="000000" w:themeColor="text1"/>
          <w:szCs w:val="24"/>
        </w:rPr>
        <w:lastRenderedPageBreak/>
        <w:t>信保基金服务信托以实际成本列示，实收信托利益于信保基金服务信托的信托利益支付日计入本信托计划财产。</w:t>
      </w:r>
    </w:p>
    <w:p w:rsidR="00066166" w:rsidRDefault="00F62BD0">
      <w:pPr>
        <w:pStyle w:val="NormalJustified"/>
        <w:numPr>
          <w:ilvl w:val="0"/>
          <w:numId w:val="19"/>
        </w:numPr>
        <w:spacing w:beforeLines="100" w:before="312" w:afterLines="100" w:after="312" w:line="300" w:lineRule="auto"/>
      </w:pPr>
      <w:r>
        <w:rPr>
          <w:rFonts w:hint="eastAsia"/>
        </w:rPr>
        <w:t>货币市场基金：单位净值按</w:t>
      </w:r>
      <w:r>
        <w:rPr>
          <w:rFonts w:hint="eastAsia"/>
        </w:rPr>
        <w:t>1.0000</w:t>
      </w:r>
      <w:r>
        <w:rPr>
          <w:rFonts w:hint="eastAsia"/>
        </w:rPr>
        <w:t>计算。以估值日前一交易日的应收货币基金收益估值，未公布应收货币基金收益的按最近公布日应收货币基金收益计算；货币式基金的待分配收益在估值日没有转为份额的，不计入净值或计提处理，于实际转为份额时计入信托的资产，并在净值计算中体现。</w:t>
      </w:r>
    </w:p>
    <w:p w:rsidR="00066166" w:rsidRDefault="00F62BD0">
      <w:pPr>
        <w:pStyle w:val="NormalJustified"/>
        <w:numPr>
          <w:ilvl w:val="0"/>
          <w:numId w:val="19"/>
        </w:numPr>
        <w:spacing w:beforeLines="100" w:before="312" w:afterLines="100" w:after="312" w:line="300" w:lineRule="auto"/>
      </w:pPr>
      <w:r>
        <w:t>其他现金类资产</w:t>
      </w:r>
      <w:r>
        <w:rPr>
          <w:rFonts w:hint="eastAsia"/>
        </w:rPr>
        <w:t>：</w:t>
      </w:r>
      <w:r>
        <w:t>受托人可根据具体情况，在与保管人商议后，按最能反映该现金类资产公允价值的方法估值</w:t>
      </w:r>
      <w:r>
        <w:rPr>
          <w:rFonts w:hint="eastAsia"/>
        </w:rPr>
        <w:t>。</w:t>
      </w:r>
    </w:p>
    <w:p w:rsidR="00066166" w:rsidRDefault="00F62BD0">
      <w:pPr>
        <w:pStyle w:val="NormalJustified"/>
        <w:numPr>
          <w:ilvl w:val="0"/>
          <w:numId w:val="19"/>
        </w:numPr>
        <w:spacing w:beforeLines="100" w:before="312" w:afterLines="100" w:after="312" w:line="300" w:lineRule="auto"/>
        <w:rPr>
          <w:rFonts w:ascii="宋体" w:hAnsi="宋体"/>
          <w:color w:val="000000"/>
          <w:szCs w:val="24"/>
        </w:rPr>
      </w:pPr>
      <w:r>
        <w:rPr>
          <w:rFonts w:ascii="宋体" w:hAnsi="宋体" w:hint="eastAsia"/>
          <w:color w:val="000000"/>
          <w:szCs w:val="24"/>
        </w:rPr>
        <w:t>相关法律法规以及监管部门有强制规定的，从其规定。如有新增事项或变更事项，依法按最新规定计算。没有相关规定的，由受托人与保管人协商确定计算方法。</w:t>
      </w:r>
    </w:p>
    <w:p w:rsidR="00066166" w:rsidRDefault="00F62BD0">
      <w:pPr>
        <w:pStyle w:val="NormalJustified"/>
        <w:numPr>
          <w:ilvl w:val="0"/>
          <w:numId w:val="19"/>
        </w:numPr>
        <w:spacing w:beforeLines="100" w:before="312" w:afterLines="100" w:after="312" w:line="300" w:lineRule="auto"/>
        <w:rPr>
          <w:rFonts w:ascii="宋体" w:hAnsi="宋体"/>
          <w:color w:val="000000"/>
          <w:szCs w:val="24"/>
        </w:rPr>
      </w:pPr>
      <w:r>
        <w:rPr>
          <w:rFonts w:ascii="宋体" w:hAnsi="宋体" w:hint="eastAsia"/>
          <w:color w:val="000000"/>
          <w:szCs w:val="24"/>
        </w:rPr>
        <w:t>如有确凿证据表明按上述规定不能客观反映信托财产公允价值的，受托人和保管人可根据具体情况协商，按最能反映信托财产公允价值的方法估值。即使存在上述情况，受托人和保管人如采用上述规定的方法对信托财产进行估值，均应被认为采用了适当的估值方法。</w:t>
      </w:r>
    </w:p>
    <w:p w:rsidR="00066166" w:rsidRDefault="00F62BD0">
      <w:pPr>
        <w:pStyle w:val="NormalJustified"/>
        <w:numPr>
          <w:ilvl w:val="0"/>
          <w:numId w:val="19"/>
        </w:numPr>
        <w:spacing w:beforeLines="100" w:before="312" w:afterLines="100" w:after="312" w:line="300" w:lineRule="auto"/>
        <w:rPr>
          <w:rFonts w:ascii="宋体" w:hAnsi="宋体"/>
          <w:color w:val="000000"/>
          <w:szCs w:val="24"/>
        </w:rPr>
      </w:pPr>
      <w:r>
        <w:rPr>
          <w:rFonts w:ascii="宋体" w:hAnsi="宋体" w:hint="eastAsia"/>
          <w:color w:val="000000"/>
          <w:szCs w:val="24"/>
        </w:rPr>
        <w:t>如受托人或保管人发现估值违反信托合同约定的估值方法、程序及相关法律法规的规定或者未能充分维护投资人利益时应立即通知对方，共同查明原因，双方协商解决。</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暂停估值的情形</w:t>
      </w:r>
    </w:p>
    <w:p w:rsidR="00066166" w:rsidRDefault="00F62BD0">
      <w:pPr>
        <w:pStyle w:val="NormalJustified"/>
        <w:spacing w:beforeLines="100" w:before="312" w:afterLines="100" w:after="312" w:line="300" w:lineRule="auto"/>
        <w:ind w:leftChars="342" w:left="718"/>
        <w:rPr>
          <w:rFonts w:hAnsi="宋体"/>
          <w:color w:val="000000" w:themeColor="text1"/>
        </w:rPr>
      </w:pPr>
      <w:r>
        <w:rPr>
          <w:rFonts w:hAnsi="宋体" w:hint="eastAsia"/>
          <w:color w:val="000000" w:themeColor="text1"/>
        </w:rPr>
        <w:t>发生下列情形之一的，本信托计划暂停估值：</w:t>
      </w:r>
    </w:p>
    <w:p w:rsidR="00066166" w:rsidRDefault="00F62BD0">
      <w:pPr>
        <w:pStyle w:val="NormalJustified"/>
        <w:numPr>
          <w:ilvl w:val="0"/>
          <w:numId w:val="20"/>
        </w:numPr>
        <w:spacing w:beforeLines="100" w:before="312" w:afterLines="100" w:after="312" w:line="300" w:lineRule="auto"/>
        <w:rPr>
          <w:rFonts w:hAnsi="宋体"/>
          <w:color w:val="000000" w:themeColor="text1"/>
        </w:rPr>
      </w:pPr>
      <w:r>
        <w:rPr>
          <w:rFonts w:hAnsi="宋体"/>
          <w:color w:val="000000" w:themeColor="text1"/>
        </w:rPr>
        <w:t>与本信托计划</w:t>
      </w:r>
      <w:r>
        <w:rPr>
          <w:rFonts w:hAnsi="宋体" w:hint="eastAsia"/>
          <w:color w:val="000000" w:themeColor="text1"/>
        </w:rPr>
        <w:t>、标的资管产品</w:t>
      </w:r>
      <w:r>
        <w:rPr>
          <w:rFonts w:hAnsi="宋体"/>
          <w:color w:val="000000" w:themeColor="text1"/>
        </w:rPr>
        <w:t>投资有关的证券交易场所遇法定节假日或因其它原因暂停营业时；</w:t>
      </w:r>
    </w:p>
    <w:p w:rsidR="00066166" w:rsidRDefault="00F62BD0">
      <w:pPr>
        <w:pStyle w:val="NormalJustified"/>
        <w:numPr>
          <w:ilvl w:val="0"/>
          <w:numId w:val="20"/>
        </w:numPr>
        <w:spacing w:beforeLines="100" w:before="312" w:afterLines="100" w:after="312" w:line="300" w:lineRule="auto"/>
        <w:rPr>
          <w:rFonts w:hAnsi="宋体"/>
          <w:color w:val="000000" w:themeColor="text1"/>
        </w:rPr>
      </w:pPr>
      <w:r>
        <w:rPr>
          <w:rFonts w:hAnsi="宋体"/>
          <w:color w:val="000000" w:themeColor="text1"/>
        </w:rPr>
        <w:t>因战争、自然灾害、系统故障、线路损坏等不可抗力或其它情形致使受托人无法准确评估信托</w:t>
      </w:r>
      <w:r>
        <w:rPr>
          <w:rFonts w:hAnsi="宋体" w:hint="eastAsia"/>
          <w:color w:val="000000" w:themeColor="text1"/>
        </w:rPr>
        <w:t>财产</w:t>
      </w:r>
      <w:r>
        <w:rPr>
          <w:rFonts w:hAnsi="宋体"/>
          <w:color w:val="000000" w:themeColor="text1"/>
        </w:rPr>
        <w:t>价值时；</w:t>
      </w:r>
    </w:p>
    <w:p w:rsidR="00066166" w:rsidRDefault="00F62BD0">
      <w:pPr>
        <w:pStyle w:val="NormalJustified"/>
        <w:numPr>
          <w:ilvl w:val="0"/>
          <w:numId w:val="20"/>
        </w:numPr>
        <w:spacing w:beforeLines="100" w:before="312" w:afterLines="100" w:after="312" w:line="300" w:lineRule="auto"/>
        <w:rPr>
          <w:rFonts w:hAnsi="宋体"/>
          <w:color w:val="000000" w:themeColor="text1"/>
        </w:rPr>
      </w:pPr>
      <w:r>
        <w:rPr>
          <w:rFonts w:hAnsi="宋体"/>
          <w:color w:val="000000" w:themeColor="text1"/>
        </w:rPr>
        <w:t>监管部门</w:t>
      </w:r>
      <w:r>
        <w:rPr>
          <w:rFonts w:hAnsi="宋体" w:hint="eastAsia"/>
          <w:color w:val="000000" w:themeColor="text1"/>
        </w:rPr>
        <w:t>和信托文件</w:t>
      </w:r>
      <w:r>
        <w:rPr>
          <w:rFonts w:hAnsi="宋体"/>
          <w:color w:val="000000" w:themeColor="text1"/>
        </w:rPr>
        <w:t>认定的其他情形。</w:t>
      </w:r>
      <w:bookmarkStart w:id="163" w:name="_Toc164487825"/>
      <w:bookmarkStart w:id="164" w:name="_Ref247015902"/>
      <w:bookmarkStart w:id="165" w:name="_Ref241925934"/>
    </w:p>
    <w:p w:rsidR="00066166" w:rsidRDefault="00F62BD0">
      <w:pPr>
        <w:pStyle w:val="NormalJustified"/>
        <w:spacing w:beforeLines="100" w:before="312" w:afterLines="100" w:after="312" w:line="300" w:lineRule="auto"/>
        <w:ind w:left="718"/>
        <w:rPr>
          <w:color w:val="000000" w:themeColor="text1"/>
          <w:szCs w:val="21"/>
        </w:rPr>
      </w:pPr>
      <w:r>
        <w:rPr>
          <w:rFonts w:hint="eastAsia"/>
          <w:color w:val="000000" w:themeColor="text1"/>
          <w:szCs w:val="21"/>
        </w:rPr>
        <w:lastRenderedPageBreak/>
        <w:t>出现上述（</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）情形暂停估值的，受托人需要通过</w:t>
      </w:r>
      <w:r>
        <w:rPr>
          <w:rFonts w:hint="eastAsia"/>
          <w:color w:val="000000" w:themeColor="text1"/>
          <w:szCs w:val="24"/>
        </w:rPr>
        <w:t>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条约定的披露方式</w:t>
      </w:r>
      <w:r>
        <w:rPr>
          <w:rFonts w:hint="eastAsia"/>
          <w:color w:val="000000" w:themeColor="text1"/>
          <w:szCs w:val="21"/>
        </w:rPr>
        <w:t>及时向受益人披露。</w:t>
      </w:r>
    </w:p>
    <w:p w:rsidR="00066166" w:rsidRDefault="00F62BD0">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差错处理原则</w:t>
      </w:r>
    </w:p>
    <w:p w:rsidR="00066166" w:rsidRDefault="00F62BD0">
      <w:pPr>
        <w:pStyle w:val="NormalJustified"/>
        <w:spacing w:beforeLines="100" w:before="312" w:afterLines="100" w:after="312" w:line="300" w:lineRule="auto"/>
        <w:ind w:left="718"/>
        <w:rPr>
          <w:color w:val="000000" w:themeColor="text1"/>
          <w:szCs w:val="21"/>
        </w:rPr>
      </w:pPr>
      <w:r>
        <w:rPr>
          <w:rFonts w:hint="eastAsia"/>
          <w:color w:val="000000" w:themeColor="text1"/>
          <w:szCs w:val="21"/>
        </w:rPr>
        <w:t>当信托估值或</w:t>
      </w:r>
      <w:bookmarkStart w:id="166" w:name="_Hlk75981992"/>
      <w:r>
        <w:rPr>
          <w:rFonts w:hint="eastAsia"/>
          <w:color w:val="000000" w:themeColor="text1"/>
          <w:szCs w:val="21"/>
        </w:rPr>
        <w:t>信托单位</w:t>
      </w:r>
      <w:bookmarkEnd w:id="166"/>
      <w:r>
        <w:rPr>
          <w:rFonts w:hint="eastAsia"/>
          <w:color w:val="000000" w:themeColor="text1"/>
          <w:szCs w:val="21"/>
        </w:rPr>
        <w:t>净值计价错误率达到或超过</w:t>
      </w:r>
      <w:r>
        <w:rPr>
          <w:rFonts w:hint="eastAsia"/>
          <w:color w:val="000000" w:themeColor="text1"/>
          <w:szCs w:val="21"/>
        </w:rPr>
        <w:t>0.25%</w:t>
      </w:r>
      <w:r>
        <w:rPr>
          <w:rFonts w:hint="eastAsia"/>
          <w:color w:val="000000" w:themeColor="text1"/>
          <w:szCs w:val="21"/>
        </w:rPr>
        <w:t>时，视为信托财产净值错误。差错处理原则和方法如下：</w:t>
      </w:r>
    </w:p>
    <w:p w:rsidR="00066166" w:rsidRDefault="00F62BD0">
      <w:pPr>
        <w:pStyle w:val="NormalJustified"/>
        <w:numPr>
          <w:ilvl w:val="0"/>
          <w:numId w:val="21"/>
        </w:numPr>
        <w:spacing w:beforeLines="100" w:before="312" w:afterLines="100" w:after="312" w:line="300" w:lineRule="auto"/>
        <w:rPr>
          <w:rFonts w:ascii="仿宋_GB2312" w:eastAsia="仿宋_GB2312" w:hAnsi="微软雅黑"/>
        </w:rPr>
      </w:pPr>
      <w:r>
        <w:rPr>
          <w:rFonts w:hAnsi="宋体" w:hint="eastAsia"/>
          <w:color w:val="000000" w:themeColor="text1"/>
        </w:rPr>
        <w:t>对于已发生的差错，但尚未给信托当事人造成损失时，受托人与保管人应及时沟通进行更正，并确保差错已得到更正；由于估值差错，给信托当事人造成损失</w:t>
      </w:r>
      <w:r>
        <w:rPr>
          <w:rFonts w:hAnsi="宋体" w:hint="eastAsia"/>
          <w:color w:val="000000" w:themeColor="text1"/>
        </w:rPr>
        <w:t>，由受托人和保管人根据相关法律法规、合同约定处理或协商解决；</w:t>
      </w:r>
    </w:p>
    <w:p w:rsidR="00066166" w:rsidRDefault="00F62BD0">
      <w:pPr>
        <w:pStyle w:val="NormalJustified"/>
        <w:numPr>
          <w:ilvl w:val="0"/>
          <w:numId w:val="21"/>
        </w:numPr>
        <w:spacing w:beforeLines="100" w:before="312" w:afterLines="100" w:after="312" w:line="300" w:lineRule="auto"/>
        <w:rPr>
          <w:rFonts w:ascii="仿宋_GB2312" w:eastAsia="仿宋_GB2312" w:hAnsi="微软雅黑"/>
        </w:rPr>
      </w:pPr>
      <w:r>
        <w:rPr>
          <w:rFonts w:hAnsi="宋体" w:hint="eastAsia"/>
          <w:color w:val="000000" w:themeColor="text1"/>
        </w:rPr>
        <w:t>受托人和保管人信托财产净值计算结果不能达成一致时，发布公告或通知信托当事人，待受托人和保管人共同查明原因，双方协商解决后再发布净值；</w:t>
      </w:r>
    </w:p>
    <w:p w:rsidR="00066166" w:rsidRDefault="00F62BD0">
      <w:pPr>
        <w:pStyle w:val="NormalJustified"/>
        <w:numPr>
          <w:ilvl w:val="0"/>
          <w:numId w:val="21"/>
        </w:numPr>
        <w:spacing w:beforeLines="100" w:before="312" w:afterLines="100" w:after="312" w:line="300" w:lineRule="auto"/>
        <w:rPr>
          <w:rFonts w:ascii="仿宋_GB2312" w:eastAsia="仿宋_GB2312" w:hAnsi="微软雅黑"/>
        </w:rPr>
      </w:pPr>
      <w:r>
        <w:rPr>
          <w:rFonts w:hAnsi="宋体" w:hint="eastAsia"/>
          <w:color w:val="000000" w:themeColor="text1"/>
        </w:rPr>
        <w:t>受托人和保管人由于各自技术系统而产生的净值计算尾差，以受托人计算结果为准。由于证券交易所及其注册登记公司、其他第三方发送的数据错误，或由于其他不可抗力原因，受托人和保管人虽然已经采取必要、适当、合理的措施进行检查，但是未能发现该错误的，由此造成的估值错误，受托人和保管人可以免除赔偿责任。但受托人和保管人应当积极采取必要的措施减轻或消除由此造成的影响。</w:t>
      </w:r>
    </w:p>
    <w:p w:rsidR="00066166" w:rsidRDefault="00066166"/>
    <w:p w:rsidR="00066166" w:rsidRDefault="00F62BD0">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67" w:name="_Toc91143610"/>
      <w:bookmarkStart w:id="168" w:name="_Toc13016386"/>
      <w:r>
        <w:rPr>
          <w:color w:val="000000" w:themeColor="text1"/>
          <w:sz w:val="24"/>
          <w:szCs w:val="24"/>
        </w:rPr>
        <w:t>信托利益的核算和分配</w:t>
      </w:r>
      <w:bookmarkEnd w:id="163"/>
      <w:bookmarkEnd w:id="164"/>
      <w:bookmarkEnd w:id="165"/>
      <w:bookmarkEnd w:id="167"/>
      <w:bookmarkEnd w:id="168"/>
    </w:p>
    <w:p w:rsidR="00066166" w:rsidRDefault="00F62BD0">
      <w:pPr>
        <w:pStyle w:val="NormalJustified"/>
        <w:widowControl w:val="0"/>
        <w:tabs>
          <w:tab w:val="left" w:pos="2552"/>
        </w:tabs>
        <w:spacing w:beforeLines="100" w:before="312" w:afterLines="100" w:after="312" w:line="300" w:lineRule="auto"/>
        <w:ind w:left="720"/>
        <w:rPr>
          <w:rFonts w:hAnsi="宋体"/>
          <w:b/>
          <w:color w:val="000000" w:themeColor="text1"/>
        </w:rPr>
      </w:pPr>
      <w:bookmarkStart w:id="169" w:name="_Toc164487826"/>
      <w:r>
        <w:rPr>
          <w:rFonts w:hint="eastAsia"/>
          <w:b/>
          <w:bCs/>
          <w:color w:val="000000" w:themeColor="text1"/>
          <w:kern w:val="2"/>
          <w:szCs w:val="24"/>
        </w:rPr>
        <w:t>特别提示：本信托计划不设预期收益率、业绩比较基准，受托人、保管人、标的资管产品管理人等机构均未对本信托计划的业绩表现或任何回报之支付作出任何承诺或保证。</w:t>
      </w:r>
      <w:bookmarkStart w:id="170" w:name="OLE_LINK76"/>
      <w:bookmarkStart w:id="171" w:name="OLE_LINK77"/>
      <w:bookmarkEnd w:id="169"/>
      <w:bookmarkEnd w:id="170"/>
      <w:bookmarkEnd w:id="171"/>
      <w:r>
        <w:rPr>
          <w:rFonts w:ascii="宋体" w:hAnsi="宋体" w:hint="eastAsia"/>
          <w:b/>
          <w:bCs/>
          <w:color w:val="000000"/>
        </w:rPr>
        <w:t>受托人、标的资管产品管理人、证券投资信托业务人员等相关机构和人员的过往业绩不代表信托计划未来运作的实际效果。</w:t>
      </w:r>
    </w:p>
    <w:p w:rsidR="00066166" w:rsidRDefault="00F62BD0">
      <w:pPr>
        <w:pStyle w:val="2"/>
        <w:keepNext w:val="0"/>
        <w:keepLines w:val="0"/>
        <w:tabs>
          <w:tab w:val="left" w:pos="720"/>
        </w:tabs>
        <w:spacing w:beforeLines="100" w:before="312" w:afterLines="100" w:after="312" w:line="300" w:lineRule="auto"/>
        <w:ind w:left="720" w:hanging="720"/>
        <w:rPr>
          <w:rFonts w:ascii="宋体" w:eastAsia="宋体" w:hAnsi="宋体"/>
          <w:color w:val="000000" w:themeColor="text1"/>
          <w:sz w:val="24"/>
          <w:szCs w:val="24"/>
        </w:rPr>
      </w:pPr>
      <w:bookmarkStart w:id="172" w:name="_Toc239215484"/>
      <w:bookmarkStart w:id="173" w:name="_Toc239215496"/>
      <w:bookmarkStart w:id="174" w:name="_Toc239215498"/>
      <w:bookmarkStart w:id="175" w:name="_Toc239215495"/>
      <w:bookmarkStart w:id="176" w:name="_Toc239215490"/>
      <w:bookmarkStart w:id="177" w:name="_Toc239215494"/>
      <w:bookmarkStart w:id="178" w:name="_Toc239215489"/>
      <w:bookmarkStart w:id="179" w:name="_Toc239215497"/>
      <w:bookmarkStart w:id="180" w:name="_Toc239215491"/>
      <w:bookmarkStart w:id="181" w:name="_Toc239215492"/>
      <w:bookmarkStart w:id="182" w:name="_Toc239215487"/>
      <w:bookmarkStart w:id="183" w:name="_Toc239215493"/>
      <w:bookmarkStart w:id="184" w:name="_Toc239215486"/>
      <w:bookmarkStart w:id="185" w:name="_Toc239215488"/>
      <w:bookmarkStart w:id="186" w:name="_Toc239215485"/>
      <w:bookmarkStart w:id="187" w:name="_Hlk54883629"/>
      <w:bookmarkStart w:id="188" w:name="_Ref237164639"/>
      <w:bookmarkStart w:id="189" w:name="_Ref239152517"/>
      <w:bookmarkStart w:id="190" w:name="_Ref237163567"/>
      <w:bookmarkStart w:id="191" w:name="_Hlk2274084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宋体" w:eastAsia="宋体" w:hAnsi="宋体" w:hint="eastAsia"/>
          <w:color w:val="000000" w:themeColor="text1"/>
          <w:sz w:val="24"/>
          <w:szCs w:val="24"/>
        </w:rPr>
        <w:t>信托利益的核算</w:t>
      </w:r>
    </w:p>
    <w:p w:rsidR="00066166" w:rsidRDefault="00F62BD0">
      <w:pPr>
        <w:pStyle w:val="Web"/>
        <w:numPr>
          <w:ilvl w:val="2"/>
          <w:numId w:val="1"/>
        </w:numPr>
        <w:tabs>
          <w:tab w:val="left" w:pos="720"/>
          <w:tab w:val="left" w:pos="851"/>
        </w:tabs>
        <w:snapToGrid w:val="0"/>
        <w:spacing w:beforeLines="100" w:before="312" w:afterLines="100" w:after="312" w:line="300" w:lineRule="auto"/>
        <w:ind w:left="720" w:hanging="720"/>
        <w:rPr>
          <w:rFonts w:ascii="Times New Roman" w:hAnsi="Times New Roman"/>
          <w:color w:val="000000" w:themeColor="text1"/>
          <w:kern w:val="2"/>
        </w:rPr>
      </w:pPr>
      <w:r>
        <w:rPr>
          <w:rFonts w:ascii="Times New Roman" w:hAnsi="Times New Roman" w:hint="eastAsia"/>
          <w:color w:val="000000" w:themeColor="text1"/>
          <w:kern w:val="2"/>
        </w:rPr>
        <w:t>在信托计划存续期间，受托人负责计算受益人应获得的信托利益的数额。受托人将按照本合同约定的方式向受益人分配信托利益。</w:t>
      </w:r>
    </w:p>
    <w:p w:rsidR="00066166" w:rsidRDefault="00F62BD0">
      <w:pPr>
        <w:pStyle w:val="Web"/>
        <w:numPr>
          <w:ilvl w:val="2"/>
          <w:numId w:val="1"/>
        </w:numPr>
        <w:tabs>
          <w:tab w:val="left" w:pos="720"/>
          <w:tab w:val="left" w:pos="851"/>
        </w:tabs>
        <w:snapToGrid w:val="0"/>
        <w:spacing w:beforeLines="100" w:before="312" w:afterLines="100" w:after="312" w:line="300" w:lineRule="auto"/>
        <w:ind w:left="720" w:hanging="720"/>
        <w:rPr>
          <w:rFonts w:ascii="Times New Roman" w:hAnsi="Times New Roman"/>
          <w:color w:val="000000" w:themeColor="text1"/>
        </w:rPr>
      </w:pPr>
      <w:r>
        <w:rPr>
          <w:rFonts w:ascii="Times New Roman" w:hAnsi="Times New Roman" w:hint="eastAsia"/>
          <w:color w:val="000000" w:themeColor="text1"/>
          <w:kern w:val="2"/>
        </w:rPr>
        <w:lastRenderedPageBreak/>
        <w:t>本合同项下信托利益的计算保留到小数点后</w:t>
      </w:r>
      <w:r>
        <w:rPr>
          <w:rFonts w:ascii="Times New Roman" w:hAnsi="Times New Roman"/>
          <w:color w:val="000000" w:themeColor="text1"/>
          <w:kern w:val="2"/>
        </w:rPr>
        <w:t>2</w:t>
      </w:r>
      <w:r>
        <w:rPr>
          <w:rFonts w:ascii="Times New Roman" w:hAnsi="Times New Roman" w:hint="eastAsia"/>
          <w:color w:val="000000" w:themeColor="text1"/>
          <w:kern w:val="2"/>
        </w:rPr>
        <w:t>位，小数点</w:t>
      </w:r>
      <w:r>
        <w:rPr>
          <w:rFonts w:ascii="Times New Roman" w:hAnsi="Times New Roman"/>
          <w:color w:val="000000" w:themeColor="text1"/>
          <w:kern w:val="2"/>
        </w:rPr>
        <w:t>2</w:t>
      </w:r>
      <w:r>
        <w:rPr>
          <w:rFonts w:ascii="Times New Roman" w:hAnsi="Times New Roman" w:hint="eastAsia"/>
          <w:color w:val="000000" w:themeColor="text1"/>
          <w:kern w:val="2"/>
        </w:rPr>
        <w:t>位以后的部分四舍五入，由此产生的损益归入信托财产。</w:t>
      </w:r>
    </w:p>
    <w:p w:rsidR="00066166" w:rsidRDefault="00F62BD0">
      <w:pPr>
        <w:pStyle w:val="2"/>
        <w:keepNext w:val="0"/>
        <w:keepLines w:val="0"/>
        <w:tabs>
          <w:tab w:val="left" w:pos="720"/>
        </w:tabs>
        <w:spacing w:beforeLines="100" w:before="312" w:afterLines="100" w:after="312" w:line="300" w:lineRule="auto"/>
        <w:ind w:left="720" w:hanging="720"/>
        <w:rPr>
          <w:rFonts w:ascii="宋体" w:eastAsia="宋体" w:hAnsi="宋体"/>
          <w:color w:val="000000" w:themeColor="text1"/>
          <w:sz w:val="24"/>
          <w:szCs w:val="24"/>
        </w:rPr>
      </w:pPr>
      <w:r>
        <w:rPr>
          <w:rFonts w:ascii="宋体" w:eastAsia="宋体" w:hAnsi="宋体" w:hint="eastAsia"/>
          <w:color w:val="000000" w:themeColor="text1"/>
          <w:sz w:val="24"/>
          <w:szCs w:val="24"/>
        </w:rPr>
        <w:t>信托利益分配</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本信托计划信托利益归属于全体受益人。</w:t>
      </w:r>
      <w:bookmarkEnd w:id="187"/>
      <w:r>
        <w:rPr>
          <w:rFonts w:hint="eastAsia"/>
          <w:color w:val="000000" w:themeColor="text1"/>
          <w:szCs w:val="24"/>
        </w:rPr>
        <w:t>信托利益的分配分为赎回分配和终止分配。</w:t>
      </w:r>
    </w:p>
    <w:p w:rsidR="00066166" w:rsidRDefault="00F62BD0">
      <w:pPr>
        <w:pStyle w:val="NormalJustified"/>
        <w:widowControl w:val="0"/>
        <w:numPr>
          <w:ilvl w:val="2"/>
          <w:numId w:val="1"/>
        </w:numPr>
        <w:spacing w:beforeLines="100" w:before="312" w:afterLines="100" w:after="312" w:line="300" w:lineRule="auto"/>
        <w:rPr>
          <w:rFonts w:hAnsi="宋体"/>
          <w:color w:val="000000" w:themeColor="text1"/>
        </w:rPr>
      </w:pPr>
      <w:r>
        <w:rPr>
          <w:rFonts w:hAnsi="宋体" w:hint="eastAsia"/>
          <w:color w:val="000000" w:themeColor="text1"/>
        </w:rPr>
        <w:t>赎回分配</w:t>
      </w:r>
    </w:p>
    <w:p w:rsidR="00066166" w:rsidRDefault="00F62BD0">
      <w:pPr>
        <w:pStyle w:val="NormalJustified"/>
        <w:widowControl w:val="0"/>
        <w:tabs>
          <w:tab w:val="left" w:pos="2552"/>
        </w:tabs>
        <w:spacing w:beforeLines="100" w:before="312" w:afterLines="100" w:after="312" w:line="300" w:lineRule="auto"/>
        <w:ind w:left="720"/>
        <w:rPr>
          <w:rFonts w:hAnsi="宋体"/>
          <w:color w:val="000000" w:themeColor="text1"/>
        </w:rPr>
      </w:pPr>
      <w:bookmarkStart w:id="192" w:name="_Hlk75982012"/>
      <w:r>
        <w:rPr>
          <w:rFonts w:hAnsi="宋体" w:hint="eastAsia"/>
          <w:color w:val="000000" w:themeColor="text1"/>
        </w:rPr>
        <w:t>信托单位赎回情形下的信托利益分配</w:t>
      </w:r>
      <w:bookmarkEnd w:id="192"/>
      <w:r>
        <w:rPr>
          <w:rFonts w:hAnsi="宋体" w:hint="eastAsia"/>
          <w:color w:val="000000" w:themeColor="text1"/>
        </w:rPr>
        <w:t>按照本合同第七条的约定执行。</w:t>
      </w:r>
    </w:p>
    <w:p w:rsidR="00066166" w:rsidRDefault="00F62BD0">
      <w:pPr>
        <w:pStyle w:val="NormalJustified"/>
        <w:widowControl w:val="0"/>
        <w:numPr>
          <w:ilvl w:val="2"/>
          <w:numId w:val="1"/>
        </w:numPr>
        <w:spacing w:beforeLines="100" w:before="312" w:afterLines="100" w:after="312" w:line="300" w:lineRule="auto"/>
        <w:rPr>
          <w:rFonts w:hAnsi="宋体"/>
          <w:color w:val="000000" w:themeColor="text1"/>
        </w:rPr>
      </w:pPr>
      <w:bookmarkStart w:id="193" w:name="_Ref41408891"/>
      <w:r>
        <w:rPr>
          <w:rFonts w:hAnsi="宋体" w:hint="eastAsia"/>
          <w:color w:val="000000" w:themeColor="text1"/>
        </w:rPr>
        <w:t>终止分配</w:t>
      </w:r>
      <w:bookmarkEnd w:id="193"/>
    </w:p>
    <w:p w:rsidR="00066166" w:rsidRDefault="00F62BD0">
      <w:pPr>
        <w:pStyle w:val="NormalJustified"/>
        <w:widowControl w:val="0"/>
        <w:tabs>
          <w:tab w:val="left" w:pos="2552"/>
        </w:tabs>
        <w:spacing w:beforeLines="100" w:before="312" w:afterLines="100" w:after="312" w:line="300" w:lineRule="auto"/>
        <w:ind w:left="720"/>
        <w:rPr>
          <w:rFonts w:hAnsi="宋体"/>
          <w:color w:val="FF0000"/>
        </w:rPr>
      </w:pPr>
      <w:r>
        <w:rPr>
          <w:rFonts w:ascii="宋体" w:hAnsi="宋体" w:hint="eastAsia"/>
          <w:color w:val="000000" w:themeColor="text1"/>
          <w:szCs w:val="24"/>
        </w:rPr>
        <w:t>信托计划终止（含提前终止、正常到期或延期终止，下同）时，</w:t>
      </w:r>
      <w:r>
        <w:rPr>
          <w:rFonts w:hAnsi="宋体" w:hint="eastAsia"/>
          <w:color w:val="000000" w:themeColor="text1"/>
        </w:rPr>
        <w:t>受托人以现金财产扣除税费、已计提未支付的信托费用为限于信托计划终止日后</w:t>
      </w:r>
      <w:r>
        <w:rPr>
          <w:rFonts w:hAnsi="宋体" w:hint="eastAsia"/>
          <w:color w:val="000000" w:themeColor="text1"/>
        </w:rPr>
        <w:t>1</w:t>
      </w:r>
      <w:r>
        <w:rPr>
          <w:rFonts w:hAnsi="宋体"/>
          <w:color w:val="000000" w:themeColor="text1"/>
        </w:rPr>
        <w:t>0</w:t>
      </w:r>
      <w:r>
        <w:rPr>
          <w:rFonts w:hAnsi="宋体" w:hint="eastAsia"/>
          <w:color w:val="000000" w:themeColor="text1"/>
        </w:rPr>
        <w:t>个工作日内将信托利益支付至受益人指定的信托利益分配账户。</w:t>
      </w:r>
      <w:r>
        <w:rPr>
          <w:rFonts w:ascii="宋体" w:hAnsi="宋体" w:hint="eastAsia"/>
          <w:color w:val="000000" w:themeColor="text1"/>
          <w:szCs w:val="24"/>
        </w:rPr>
        <w:t>每一受益人可获分配的信托利益</w:t>
      </w:r>
      <w:r>
        <w:rPr>
          <w:rFonts w:ascii="宋体" w:hAnsi="宋体"/>
          <w:color w:val="000000" w:themeColor="text1"/>
          <w:szCs w:val="24"/>
        </w:rPr>
        <w:t>=</w:t>
      </w:r>
      <w:r>
        <w:rPr>
          <w:rFonts w:hAnsi="宋体"/>
          <w:color w:val="000000" w:themeColor="text1"/>
        </w:rPr>
        <w:t>受</w:t>
      </w:r>
      <w:r>
        <w:rPr>
          <w:rFonts w:hAnsi="宋体" w:hint="eastAsia"/>
          <w:color w:val="000000" w:themeColor="text1"/>
        </w:rPr>
        <w:t>益</w:t>
      </w:r>
      <w:r>
        <w:rPr>
          <w:rFonts w:hAnsi="宋体"/>
          <w:color w:val="000000" w:themeColor="text1"/>
        </w:rPr>
        <w:t>人</w:t>
      </w:r>
      <w:r>
        <w:rPr>
          <w:rFonts w:hAnsi="宋体" w:hint="eastAsia"/>
          <w:color w:val="000000" w:themeColor="text1"/>
        </w:rPr>
        <w:t>于信托计划终止日持有的信托单位份数</w:t>
      </w:r>
      <w:r>
        <w:rPr>
          <w:rFonts w:hAnsi="宋体"/>
          <w:color w:val="000000" w:themeColor="text1"/>
        </w:rPr>
        <w:t>×</w:t>
      </w:r>
      <w:r>
        <w:rPr>
          <w:rFonts w:hAnsi="宋体" w:hint="eastAsia"/>
          <w:color w:val="000000" w:themeColor="text1"/>
        </w:rPr>
        <w:t>信托计划终止日的信托单位净值</w:t>
      </w:r>
      <w:r>
        <w:rPr>
          <w:rFonts w:ascii="宋体" w:hAnsi="宋体"/>
          <w:color w:val="000000" w:themeColor="text1"/>
          <w:szCs w:val="24"/>
        </w:rPr>
        <w:t>-</w:t>
      </w:r>
      <w:r>
        <w:rPr>
          <w:rFonts w:ascii="宋体" w:hAnsi="宋体" w:hint="eastAsia"/>
          <w:color w:val="000000" w:themeColor="text1"/>
          <w:szCs w:val="24"/>
        </w:rPr>
        <w:t>该受益人届时持有的信托单位对应的浮动代理推介费（如有）。</w:t>
      </w:r>
      <w:r>
        <w:rPr>
          <w:rFonts w:hAnsi="宋体" w:hint="eastAsia"/>
          <w:color w:val="000000" w:themeColor="text1"/>
        </w:rPr>
        <w:t>信托财产已经全部变现后不足以支付按上述公式计算的受益人信托利益的，按照每个受益人应分配的信托利益的比例向受益人分配</w:t>
      </w:r>
      <w:r>
        <w:rPr>
          <w:rFonts w:ascii="宋体" w:hAnsi="宋体" w:hint="eastAsia"/>
          <w:color w:val="000000" w:themeColor="text1"/>
          <w:szCs w:val="24"/>
        </w:rPr>
        <w:t>。如因标的资管产品赎回款到账延迟，相应信托利益支付时间顺延</w:t>
      </w:r>
      <w:bookmarkStart w:id="194" w:name="_Hlk47966047"/>
      <w:r>
        <w:rPr>
          <w:rFonts w:ascii="宋体" w:hAnsi="宋体" w:hint="eastAsia"/>
          <w:color w:val="000000" w:themeColor="text1"/>
          <w:szCs w:val="24"/>
        </w:rPr>
        <w:t>。</w:t>
      </w:r>
      <w:r>
        <w:rPr>
          <w:rFonts w:hAnsi="宋体" w:hint="eastAsia"/>
          <w:color w:val="FF0000"/>
        </w:rPr>
        <w:t xml:space="preserve"> </w:t>
      </w:r>
      <w:bookmarkEnd w:id="194"/>
    </w:p>
    <w:p w:rsidR="00066166" w:rsidRDefault="00F62BD0">
      <w:pPr>
        <w:pStyle w:val="NormalJustified"/>
        <w:widowControl w:val="0"/>
        <w:tabs>
          <w:tab w:val="left" w:pos="2552"/>
        </w:tabs>
        <w:spacing w:beforeLines="100" w:before="312" w:afterLines="100" w:after="312" w:line="300" w:lineRule="auto"/>
        <w:ind w:left="720"/>
        <w:rPr>
          <w:rFonts w:ascii="宋体" w:hAnsi="宋体"/>
          <w:color w:val="000000" w:themeColor="text1"/>
          <w:szCs w:val="24"/>
        </w:rPr>
      </w:pPr>
      <w:r>
        <w:rPr>
          <w:rFonts w:ascii="宋体" w:hAnsi="宋体"/>
          <w:color w:val="000000" w:themeColor="text1"/>
          <w:szCs w:val="24"/>
        </w:rPr>
        <w:t>若</w:t>
      </w:r>
      <w:r>
        <w:rPr>
          <w:rFonts w:ascii="宋体" w:hAnsi="宋体" w:hint="eastAsia"/>
          <w:color w:val="000000" w:themeColor="text1"/>
          <w:szCs w:val="24"/>
        </w:rPr>
        <w:t>发生信托计划预计期限届满但因各种原因导致信托财产无法及时变现的，受托人有权将信托计划项下已变现的信托财产扣除税费、已计提未支付的信托费用先行进行分配，在此情况下，受托人有权按照第</w:t>
      </w:r>
      <w:r>
        <w:rPr>
          <w:rFonts w:ascii="宋体" w:hAnsi="宋体"/>
          <w:color w:val="000000" w:themeColor="text1"/>
          <w:szCs w:val="24"/>
        </w:rPr>
        <w:t>7.6.2</w:t>
      </w:r>
      <w:r>
        <w:rPr>
          <w:rFonts w:ascii="宋体" w:hAnsi="宋体" w:hint="eastAsia"/>
          <w:color w:val="000000" w:themeColor="text1"/>
          <w:szCs w:val="24"/>
        </w:rPr>
        <w:t>款约定的方式以届时可分配的现金形式信托财产扣除税费、已计提未支付的信托费用为限强制赎回部分信托单位。此时，信托计划自动延期至信托财产全部变现之日</w:t>
      </w:r>
      <w:r>
        <w:rPr>
          <w:rFonts w:ascii="宋体" w:hAnsi="宋体" w:hint="eastAsia"/>
          <w:color w:val="000000" w:themeColor="text1"/>
          <w:szCs w:val="24"/>
        </w:rPr>
        <w:t>，受托人无需再另行征得委托人</w:t>
      </w:r>
      <w:r>
        <w:rPr>
          <w:rFonts w:ascii="宋体" w:hAnsi="宋体" w:hint="eastAsia"/>
          <w:color w:val="000000" w:themeColor="text1"/>
          <w:szCs w:val="24"/>
        </w:rPr>
        <w:t>/</w:t>
      </w:r>
      <w:r>
        <w:rPr>
          <w:rFonts w:ascii="宋体" w:hAnsi="宋体" w:hint="eastAsia"/>
          <w:color w:val="000000" w:themeColor="text1"/>
          <w:szCs w:val="24"/>
        </w:rPr>
        <w:t>受益人同意。信托计划延期期间，受托人对信托财产进行追偿、处置和变现。在信托财产全部变现后信托计划终止并进行二次分配，届时每一受益人可获分配的信托利益按上述约定方式计算，受托人于信托财产全部变现后</w:t>
      </w:r>
      <w:r>
        <w:rPr>
          <w:rFonts w:ascii="宋体" w:hAnsi="宋体"/>
          <w:color w:val="000000" w:themeColor="text1"/>
          <w:szCs w:val="24"/>
        </w:rPr>
        <w:t>10</w:t>
      </w:r>
      <w:r>
        <w:rPr>
          <w:rFonts w:ascii="宋体" w:hAnsi="宋体" w:hint="eastAsia"/>
          <w:color w:val="000000" w:themeColor="text1"/>
          <w:szCs w:val="24"/>
        </w:rPr>
        <w:t>个工作日内以现金财产</w:t>
      </w:r>
      <w:bookmarkStart w:id="195" w:name="_Hlk47966640"/>
      <w:r>
        <w:rPr>
          <w:rFonts w:ascii="宋体" w:hAnsi="宋体" w:hint="eastAsia"/>
          <w:color w:val="000000" w:themeColor="text1"/>
          <w:szCs w:val="24"/>
        </w:rPr>
        <w:t>扣除税费、已计提未支付的信托费用</w:t>
      </w:r>
      <w:bookmarkEnd w:id="195"/>
      <w:r>
        <w:rPr>
          <w:rFonts w:ascii="宋体" w:hAnsi="宋体" w:hint="eastAsia"/>
          <w:color w:val="000000" w:themeColor="text1"/>
          <w:szCs w:val="24"/>
        </w:rPr>
        <w:t>为限向受益人分配剩余信托利益。在此期间，信托计划不再接受申购、赎回申请。</w:t>
      </w:r>
      <w:bookmarkEnd w:id="42"/>
      <w:bookmarkEnd w:id="43"/>
      <w:bookmarkEnd w:id="188"/>
      <w:bookmarkEnd w:id="189"/>
      <w:bookmarkEnd w:id="190"/>
      <w:bookmarkEnd w:id="191"/>
    </w:p>
    <w:p w:rsidR="00066166" w:rsidRDefault="00F62BD0">
      <w:pPr>
        <w:numPr>
          <w:ilvl w:val="1"/>
          <w:numId w:val="1"/>
        </w:numPr>
        <w:tabs>
          <w:tab w:val="left" w:pos="720"/>
        </w:tabs>
        <w:spacing w:beforeLines="100" w:before="312" w:afterLines="100" w:after="312" w:line="300" w:lineRule="auto"/>
        <w:ind w:left="720" w:hanging="720"/>
        <w:outlineLvl w:val="1"/>
        <w:rPr>
          <w:rFonts w:ascii="Arial" w:eastAsia="黑体" w:hAnsi="Arial"/>
          <w:b/>
          <w:bCs/>
          <w:sz w:val="32"/>
          <w:lang w:val="zh-CN"/>
        </w:rPr>
      </w:pPr>
      <w:r>
        <w:rPr>
          <w:rFonts w:ascii="宋体" w:hAnsi="宋体" w:hint="eastAsia"/>
          <w:b/>
          <w:bCs/>
          <w:sz w:val="24"/>
          <w:lang w:val="zh-CN"/>
        </w:rPr>
        <w:t>信托利益分配账户</w:t>
      </w:r>
    </w:p>
    <w:p w:rsidR="00066166" w:rsidRDefault="00F62BD0">
      <w:pPr>
        <w:tabs>
          <w:tab w:val="left" w:pos="2552"/>
        </w:tabs>
        <w:spacing w:beforeLines="100" w:before="312" w:afterLines="100" w:after="312" w:line="300" w:lineRule="auto"/>
        <w:ind w:left="720"/>
        <w:outlineLvl w:val="1"/>
        <w:rPr>
          <w:rFonts w:ascii="宋体" w:hAnsi="宋体"/>
          <w:bCs/>
          <w:sz w:val="24"/>
          <w:lang w:val="zh-CN"/>
        </w:rPr>
      </w:pPr>
      <w:r>
        <w:rPr>
          <w:rFonts w:ascii="宋体" w:hAnsi="宋体"/>
          <w:bCs/>
          <w:sz w:val="24"/>
        </w:rPr>
        <w:lastRenderedPageBreak/>
        <w:t>受益人应在信托财产最终分配完毕之前或其持有的信托单位全部赎回且赎回资金支付完毕前保持信托利益分配账户有效。受益人变更信托利益分配账户的，应持信托合同原件及受益人身份证明文件（</w:t>
      </w:r>
      <w:r>
        <w:rPr>
          <w:rFonts w:ascii="宋体" w:hAnsi="宋体" w:hint="eastAsia"/>
          <w:bCs/>
          <w:sz w:val="24"/>
        </w:rPr>
        <w:t>该等文件包括但不限于：</w:t>
      </w:r>
      <w:r>
        <w:rPr>
          <w:rFonts w:ascii="宋体" w:hAnsi="宋体"/>
          <w:bCs/>
          <w:sz w:val="24"/>
        </w:rPr>
        <w:t>受益人为自然人的，为身份证原件及复印件；受益人为机构的，提交营业执照副本复印件（加盖公章），法定代表人身份证原件和复印件及法定代表人证明书，如经办人不是法定代表人本人的，还须提交经办人身份证原件和复印件以及法定代表人签署的授权委托书）至受托人营业场所或指定的代理机构办理信托利益分配账户变更手续</w:t>
      </w:r>
      <w:r>
        <w:rPr>
          <w:rFonts w:ascii="宋体" w:hAnsi="宋体"/>
          <w:bCs/>
          <w:sz w:val="24"/>
          <w:lang w:val="zh-CN"/>
        </w:rPr>
        <w:t>。</w:t>
      </w:r>
    </w:p>
    <w:p w:rsidR="00066166" w:rsidRDefault="00F62BD0">
      <w:pPr>
        <w:pStyle w:val="NormalJustified"/>
        <w:widowControl w:val="0"/>
        <w:tabs>
          <w:tab w:val="left" w:pos="2552"/>
        </w:tabs>
        <w:spacing w:beforeLines="100" w:before="312" w:afterLines="100" w:after="312" w:line="300" w:lineRule="auto"/>
        <w:ind w:left="720"/>
        <w:rPr>
          <w:rFonts w:ascii="宋体" w:hAnsi="宋体"/>
          <w:color w:val="000000" w:themeColor="text1"/>
        </w:rPr>
      </w:pPr>
      <w:r>
        <w:rPr>
          <w:rFonts w:ascii="宋体" w:hAnsi="宋体"/>
          <w:color w:val="000000" w:themeColor="text1"/>
        </w:rPr>
        <w:t>办理信托利益分配账</w:t>
      </w:r>
      <w:r>
        <w:rPr>
          <w:rFonts w:ascii="宋体" w:hAnsi="宋体"/>
          <w:color w:val="000000" w:themeColor="text1"/>
        </w:rPr>
        <w:t>户变更手续，受益人须填写受益人信息变更通知书一式两份，并提交受益人身份证明文件复印件一式两份及变更后的信托利益分配账户银行卡</w:t>
      </w:r>
      <w:r>
        <w:rPr>
          <w:rFonts w:ascii="宋体" w:hAnsi="宋体"/>
          <w:color w:val="000000" w:themeColor="text1"/>
        </w:rPr>
        <w:t>/</w:t>
      </w:r>
      <w:r>
        <w:rPr>
          <w:rFonts w:ascii="宋体" w:hAnsi="宋体"/>
          <w:color w:val="000000" w:themeColor="text1"/>
        </w:rPr>
        <w:t>存折复印件一式两份</w:t>
      </w:r>
      <w:r>
        <w:rPr>
          <w:rFonts w:ascii="宋体" w:hAnsi="宋体" w:hint="eastAsia"/>
          <w:color w:val="000000" w:themeColor="text1"/>
          <w:szCs w:val="24"/>
        </w:rPr>
        <w:t>及其他受托人要求的资料</w:t>
      </w:r>
      <w:r>
        <w:rPr>
          <w:rFonts w:ascii="宋体" w:hAnsi="宋体"/>
          <w:color w:val="000000" w:themeColor="text1"/>
        </w:rPr>
        <w:t>。自然人受益人须在前述文件中亲笔签字并加按手印，机构受益人须在前述文件中加盖公章并由其法定代表人或组织机构负责人签字，若授权他人签字的，还须提供合法有效授权委托书。</w:t>
      </w:r>
    </w:p>
    <w:p w:rsidR="00066166" w:rsidRDefault="00F62BD0">
      <w:pPr>
        <w:pStyle w:val="NormalJustified"/>
        <w:widowControl w:val="0"/>
        <w:tabs>
          <w:tab w:val="left" w:pos="2552"/>
        </w:tabs>
        <w:spacing w:beforeLines="100" w:before="312" w:afterLines="100" w:after="312" w:line="300" w:lineRule="auto"/>
        <w:ind w:left="720"/>
        <w:rPr>
          <w:rFonts w:ascii="宋体" w:hAnsi="宋体"/>
          <w:color w:val="000000" w:themeColor="text1"/>
          <w:szCs w:val="24"/>
        </w:rPr>
      </w:pPr>
      <w:r>
        <w:rPr>
          <w:rFonts w:ascii="宋体" w:hAnsi="宋体"/>
          <w:color w:val="000000" w:themeColor="text1"/>
        </w:rPr>
        <w:t>如果信托财产最后分配完毕之前或受益人持有的信托单位全部赎回且赎回资金支付完毕前受益人信托利益分配账户发生变更，但未按本款规定办理信托利益分配账户变更手续，受托人不对由此导致的任何损</w:t>
      </w:r>
      <w:r>
        <w:rPr>
          <w:rFonts w:ascii="宋体" w:hAnsi="宋体"/>
          <w:color w:val="000000" w:themeColor="text1"/>
        </w:rPr>
        <w:t>失承担任何责任</w:t>
      </w:r>
      <w:r>
        <w:rPr>
          <w:rFonts w:ascii="宋体" w:hAnsi="宋体" w:hint="eastAsia"/>
          <w:color w:val="000000" w:themeColor="text1"/>
        </w:rPr>
        <w:t>。</w:t>
      </w: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196" w:name="_Toc44257103"/>
      <w:bookmarkStart w:id="197" w:name="_Toc91143611"/>
      <w:bookmarkStart w:id="198" w:name="_Toc13016387"/>
      <w:bookmarkStart w:id="199" w:name="_Toc164487828"/>
      <w:bookmarkEnd w:id="196"/>
      <w:r>
        <w:rPr>
          <w:color w:val="000000" w:themeColor="text1"/>
          <w:sz w:val="24"/>
          <w:szCs w:val="24"/>
        </w:rPr>
        <w:t>信托费用、信托受托管理费和税收的计提和收取</w:t>
      </w:r>
      <w:bookmarkEnd w:id="197"/>
      <w:bookmarkEnd w:id="198"/>
      <w:bookmarkEnd w:id="199"/>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00" w:name="_Toc164487829"/>
      <w:r>
        <w:rPr>
          <w:rFonts w:ascii="Times New Roman" w:eastAsia="宋体" w:hAnsi="Times New Roman"/>
          <w:color w:val="000000" w:themeColor="text1"/>
          <w:sz w:val="24"/>
          <w:szCs w:val="24"/>
        </w:rPr>
        <w:t>信托费用</w:t>
      </w:r>
      <w:bookmarkEnd w:id="200"/>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b/>
          <w:bCs/>
          <w:color w:val="000000" w:themeColor="text1"/>
          <w:sz w:val="24"/>
          <w:szCs w:val="24"/>
        </w:rPr>
      </w:pPr>
      <w:r>
        <w:rPr>
          <w:rFonts w:ascii="Times New Roman" w:hAnsi="Times New Roman" w:hint="eastAsia"/>
          <w:b/>
          <w:bCs/>
          <w:color w:val="000000" w:themeColor="text1"/>
          <w:sz w:val="24"/>
          <w:szCs w:val="24"/>
        </w:rPr>
        <w:t>受托人因处理信托事务发生的下述费用（以下简称</w:t>
      </w:r>
      <w:r>
        <w:rPr>
          <w:rFonts w:ascii="Times New Roman" w:hAnsi="Times New Roman"/>
          <w:b/>
          <w:bCs/>
          <w:color w:val="000000" w:themeColor="text1"/>
          <w:sz w:val="24"/>
          <w:szCs w:val="24"/>
        </w:rPr>
        <w:t>“</w:t>
      </w:r>
      <w:r>
        <w:rPr>
          <w:rFonts w:ascii="Times New Roman" w:hAnsi="Times New Roman" w:hint="eastAsia"/>
          <w:b/>
          <w:bCs/>
          <w:color w:val="000000" w:themeColor="text1"/>
          <w:sz w:val="24"/>
          <w:szCs w:val="24"/>
        </w:rPr>
        <w:t>信托费用</w:t>
      </w:r>
      <w:r>
        <w:rPr>
          <w:rFonts w:ascii="Times New Roman" w:hAnsi="Times New Roman"/>
          <w:b/>
          <w:bCs/>
          <w:color w:val="000000" w:themeColor="text1"/>
          <w:sz w:val="24"/>
          <w:szCs w:val="24"/>
        </w:rPr>
        <w:t>”</w:t>
      </w:r>
      <w:r>
        <w:rPr>
          <w:rFonts w:ascii="Times New Roman" w:hAnsi="Times New Roman" w:hint="eastAsia"/>
          <w:b/>
          <w:bCs/>
          <w:color w:val="000000" w:themeColor="text1"/>
          <w:sz w:val="24"/>
          <w:szCs w:val="24"/>
        </w:rPr>
        <w:t>）由信托财产承担：</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信托受托管理费；</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保管人的保管费；</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财务顾问费（如有）；</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代理推介费（如有）；</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bookmarkStart w:id="201" w:name="OLE_LINK81"/>
      <w:bookmarkStart w:id="202" w:name="OLE_LINK80"/>
      <w:r>
        <w:rPr>
          <w:rFonts w:hint="eastAsia"/>
          <w:color w:val="000000" w:themeColor="text1"/>
          <w:kern w:val="2"/>
          <w:szCs w:val="24"/>
        </w:rPr>
        <w:t>监管银行的监管费（如有）；</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bookmarkStart w:id="203" w:name="_Ref340518851"/>
      <w:r>
        <w:rPr>
          <w:rFonts w:hint="eastAsia"/>
          <w:color w:val="000000" w:themeColor="text1"/>
          <w:kern w:val="2"/>
          <w:szCs w:val="24"/>
        </w:rPr>
        <w:lastRenderedPageBreak/>
        <w:t>应付给各中介机构或其他为信托计划提供服务（含为信托计划成立而提供的服务及信托计划存续期内为信托计划提供的服务）的外部机构的费用和报酬；</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t>信托财产管理、运用或处分过程中发生的</w:t>
      </w:r>
      <w:r>
        <w:rPr>
          <w:rFonts w:hint="eastAsia"/>
        </w:rPr>
        <w:t>事务管理费：</w:t>
      </w:r>
      <w:r>
        <w:rPr>
          <w:rFonts w:ascii="宋体" w:hAnsi="宋体" w:hint="eastAsia"/>
        </w:rPr>
        <w:t>包括因设立本信托计划以及信托计划成立、管理运用而产生的费用，</w:t>
      </w:r>
      <w:r>
        <w:rPr>
          <w:rFonts w:hint="eastAsia"/>
        </w:rPr>
        <w:t>包括但不限于文件或账册制作及印刷费用、账户开立费用、</w:t>
      </w:r>
      <w:r>
        <w:rPr>
          <w:rFonts w:ascii="宋体" w:hAnsi="宋体" w:hint="eastAsia"/>
        </w:rPr>
        <w:t>信托资金汇划费、</w:t>
      </w:r>
      <w:r>
        <w:rPr>
          <w:rFonts w:hint="eastAsia"/>
        </w:rPr>
        <w:t>信息披露费用、银行结算和账户服务费、</w:t>
      </w:r>
      <w:r>
        <w:rPr>
          <w:rFonts w:ascii="宋体" w:hAnsi="宋体" w:hint="eastAsia"/>
        </w:rPr>
        <w:t>邮寄费等。</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召集受益人大会发生的会议费等费用；</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为保护和实现信托财产权利而支出的费用，包括但不限于诉讼费、仲裁费、律师费、公证费、财产保全费、公告费、拍卖费、执行费、送达费、因信托财产项下债权转让所增加的履行费用及其他形式的资产处置费等费用；</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本信托计划终止时的清算费用及向受益人支付信托利益的费用；</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信托财产管理、运用或处分过程中发生的税费；</w:t>
      </w:r>
    </w:p>
    <w:p w:rsidR="00066166" w:rsidRDefault="00F62BD0">
      <w:pPr>
        <w:pStyle w:val="NormalJustified"/>
        <w:numPr>
          <w:ilvl w:val="0"/>
          <w:numId w:val="22"/>
        </w:numPr>
        <w:spacing w:beforeLines="100" w:before="312" w:afterLines="100" w:after="312" w:line="300" w:lineRule="auto"/>
        <w:rPr>
          <w:color w:val="000000" w:themeColor="text1"/>
          <w:kern w:val="2"/>
          <w:szCs w:val="24"/>
        </w:rPr>
      </w:pPr>
      <w:r>
        <w:rPr>
          <w:rFonts w:hint="eastAsia"/>
          <w:color w:val="000000" w:themeColor="text1"/>
          <w:kern w:val="2"/>
          <w:szCs w:val="24"/>
        </w:rPr>
        <w:t>其它应由信托财产承担的费用。</w:t>
      </w:r>
      <w:bookmarkEnd w:id="201"/>
      <w:bookmarkEnd w:id="202"/>
      <w:bookmarkEnd w:id="203"/>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color w:val="000000" w:themeColor="text1"/>
          <w:sz w:val="24"/>
          <w:szCs w:val="24"/>
        </w:rPr>
        <w:t>受托人负责上述各项费用的核算工作</w:t>
      </w:r>
      <w:r>
        <w:rPr>
          <w:rFonts w:ascii="Times New Roman" w:hAnsi="Times New Roman"/>
          <w:color w:val="000000" w:themeColor="text1"/>
          <w:sz w:val="24"/>
          <w:szCs w:val="24"/>
        </w:rPr>
        <w:t>，并应妥善保管上述费用的相关单据、凭证。除非特别说明，上述费用均在发生时或根据相关的合同约定由受托人指令保管人从信托财产专户中支付。受托人以其固有财产垫付信托费用的，对信托财产享有优先受偿的权利。</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04" w:name="_Ref326864890"/>
      <w:r>
        <w:rPr>
          <w:rFonts w:ascii="Times New Roman" w:eastAsia="宋体" w:hAnsi="Times New Roman" w:hint="eastAsia"/>
          <w:color w:val="000000" w:themeColor="text1"/>
          <w:sz w:val="24"/>
          <w:szCs w:val="24"/>
        </w:rPr>
        <w:t>信托受托管理费</w:t>
      </w:r>
      <w:bookmarkEnd w:id="204"/>
    </w:p>
    <w:p w:rsidR="00066166" w:rsidRDefault="00F62BD0">
      <w:pPr>
        <w:pStyle w:val="NormalJustified"/>
        <w:widowControl w:val="0"/>
        <w:spacing w:beforeLines="100" w:before="312" w:afterLines="100" w:after="312" w:line="300" w:lineRule="auto"/>
        <w:ind w:left="720"/>
        <w:rPr>
          <w:color w:val="000000" w:themeColor="text1"/>
          <w:szCs w:val="24"/>
        </w:rPr>
      </w:pPr>
      <w:bookmarkStart w:id="205" w:name="_Hlk12522562"/>
      <w:bookmarkStart w:id="206" w:name="OLE_LINK33"/>
      <w:bookmarkStart w:id="207" w:name="OLE_LINK34"/>
      <w:r>
        <w:rPr>
          <w:rFonts w:hint="eastAsia"/>
          <w:color w:val="000000" w:themeColor="text1"/>
          <w:szCs w:val="24"/>
        </w:rPr>
        <w:t>特别提示：受托人管理信托事务，收取信托受托管理费，信托受托管理费为固定信托受托管理费。委托人知悉并认可上述固定信托受托管理费的设置、计算方式、收费标准和收取时点。</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宋体"/>
          <w:color w:val="000000" w:themeColor="text1"/>
          <w:kern w:val="28"/>
          <w:sz w:val="24"/>
          <w:szCs w:val="20"/>
        </w:rPr>
      </w:pPr>
      <w:r>
        <w:rPr>
          <w:rFonts w:ascii="Times New Roman" w:hAnsi="宋体" w:hint="eastAsia"/>
          <w:color w:val="000000" w:themeColor="text1"/>
          <w:kern w:val="28"/>
          <w:sz w:val="24"/>
          <w:szCs w:val="20"/>
        </w:rPr>
        <w:t>固定信托受托管理费</w:t>
      </w:r>
      <w:bookmarkEnd w:id="205"/>
    </w:p>
    <w:p w:rsidR="00066166" w:rsidRDefault="00F62BD0">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固定信托受托管理费费率为【</w:t>
      </w:r>
      <w:r>
        <w:rPr>
          <w:rFonts w:ascii="Times New Roman" w:hAnsi="Times New Roman" w:hint="eastAsia"/>
          <w:color w:val="000000" w:themeColor="text1"/>
          <w:sz w:val="24"/>
          <w:szCs w:val="24"/>
        </w:rPr>
        <w:t>0</w:t>
      </w:r>
      <w:r>
        <w:rPr>
          <w:rFonts w:ascii="Times New Roman" w:hAnsi="Times New Roman"/>
          <w:color w:val="000000" w:themeColor="text1"/>
          <w:sz w:val="24"/>
          <w:szCs w:val="24"/>
        </w:rPr>
        <w:t>.05</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年</w:t>
      </w:r>
      <w:bookmarkStart w:id="208" w:name="OLE_LINK35"/>
      <w:bookmarkStart w:id="209" w:name="OLE_LINK36"/>
      <w:bookmarkEnd w:id="206"/>
      <w:bookmarkEnd w:id="207"/>
      <w:r>
        <w:rPr>
          <w:rFonts w:ascii="Times New Roman" w:hAnsi="Times New Roman" w:hint="eastAsia"/>
          <w:color w:val="000000" w:themeColor="text1"/>
          <w:sz w:val="24"/>
          <w:szCs w:val="24"/>
        </w:rPr>
        <w:t>，固定</w:t>
      </w:r>
      <w:r>
        <w:rPr>
          <w:rFonts w:ascii="Times New Roman" w:hAnsi="Times New Roman"/>
          <w:color w:val="000000" w:themeColor="text1"/>
          <w:sz w:val="24"/>
          <w:szCs w:val="24"/>
        </w:rPr>
        <w:t>信托受托管理费按照如下方式计算</w:t>
      </w:r>
      <w:r>
        <w:rPr>
          <w:rFonts w:ascii="Times New Roman" w:hAnsi="Times New Roman" w:hint="eastAsia"/>
          <w:color w:val="000000" w:themeColor="text1"/>
          <w:sz w:val="24"/>
          <w:szCs w:val="24"/>
        </w:rPr>
        <w:t>和支付</w:t>
      </w:r>
      <w:r>
        <w:rPr>
          <w:rFonts w:ascii="Times New Roman" w:hAnsi="Times New Roman"/>
          <w:color w:val="000000" w:themeColor="text1"/>
          <w:sz w:val="24"/>
          <w:szCs w:val="24"/>
        </w:rPr>
        <w:t>：</w:t>
      </w:r>
    </w:p>
    <w:p w:rsidR="00066166" w:rsidRDefault="00F62BD0">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rPr>
        <w:lastRenderedPageBreak/>
        <w:t>固定信托受托管理费</w:t>
      </w:r>
      <w:r>
        <w:rPr>
          <w:rFonts w:hint="eastAsia"/>
          <w:color w:val="000000" w:themeColor="text1"/>
          <w:kern w:val="0"/>
          <w:szCs w:val="24"/>
        </w:rPr>
        <w:t>每日计提，</w:t>
      </w:r>
      <w:r>
        <w:rPr>
          <w:color w:val="000000" w:themeColor="text1"/>
          <w:kern w:val="0"/>
          <w:szCs w:val="24"/>
        </w:rPr>
        <w:t>每日应计提</w:t>
      </w:r>
      <w:r>
        <w:rPr>
          <w:rFonts w:hint="eastAsia"/>
          <w:color w:val="000000" w:themeColor="text1"/>
          <w:kern w:val="0"/>
        </w:rPr>
        <w:t>的固定信托受托管理费</w:t>
      </w:r>
      <w:r>
        <w:rPr>
          <w:color w:val="000000" w:themeColor="text1"/>
          <w:kern w:val="0"/>
          <w:szCs w:val="24"/>
        </w:rPr>
        <w:t>＝</w:t>
      </w:r>
      <w:r>
        <w:rPr>
          <w:rFonts w:hint="eastAsia"/>
          <w:color w:val="000000" w:themeColor="text1"/>
          <w:kern w:val="0"/>
        </w:rPr>
        <w:t>前一自然日的信托财产净值（首个计提日</w:t>
      </w:r>
      <w:r>
        <w:rPr>
          <w:color w:val="000000" w:themeColor="text1"/>
          <w:kern w:val="0"/>
        </w:rPr>
        <w:t>计提时为信托计划</w:t>
      </w:r>
      <w:r>
        <w:rPr>
          <w:rFonts w:hAnsi="宋体"/>
          <w:color w:val="000000" w:themeColor="text1"/>
        </w:rPr>
        <w:t>成立</w:t>
      </w:r>
      <w:r>
        <w:rPr>
          <w:rFonts w:hAnsi="宋体" w:hint="eastAsia"/>
          <w:color w:val="000000" w:themeColor="text1"/>
        </w:rPr>
        <w:t>日的信托资金金额）</w:t>
      </w:r>
      <w:r>
        <w:rPr>
          <w:color w:val="000000" w:themeColor="text1"/>
          <w:kern w:val="0"/>
          <w:szCs w:val="24"/>
        </w:rPr>
        <w:t>×</w:t>
      </w:r>
      <w:r>
        <w:rPr>
          <w:rFonts w:hint="eastAsia"/>
          <w:color w:val="000000" w:themeColor="text1"/>
          <w:szCs w:val="24"/>
        </w:rPr>
        <w:t>固定信托受托管理费费率</w:t>
      </w:r>
      <w:r>
        <w:rPr>
          <w:color w:val="000000" w:themeColor="text1"/>
          <w:kern w:val="0"/>
          <w:szCs w:val="24"/>
        </w:rPr>
        <w:t>÷365</w:t>
      </w:r>
      <w:r>
        <w:rPr>
          <w:rFonts w:hint="eastAsia"/>
          <w:color w:val="000000" w:themeColor="text1"/>
          <w:kern w:val="0"/>
          <w:szCs w:val="24"/>
        </w:rPr>
        <w:t>。</w:t>
      </w:r>
    </w:p>
    <w:p w:rsidR="00066166" w:rsidRDefault="00F62BD0">
      <w:pPr>
        <w:pStyle w:val="NormalJustified"/>
        <w:widowControl w:val="0"/>
        <w:spacing w:beforeLines="100" w:before="312" w:afterLines="100" w:after="312" w:line="300" w:lineRule="auto"/>
        <w:ind w:left="720"/>
        <w:rPr>
          <w:color w:val="000000" w:themeColor="text1"/>
          <w:kern w:val="0"/>
          <w:szCs w:val="24"/>
        </w:rPr>
      </w:pPr>
      <w:bookmarkStart w:id="210" w:name="_Hlk22740935"/>
      <w:r>
        <w:rPr>
          <w:color w:val="000000" w:themeColor="text1"/>
          <w:kern w:val="0"/>
        </w:rPr>
        <w:t>保管人</w:t>
      </w:r>
      <w:r>
        <w:rPr>
          <w:rFonts w:hint="eastAsia"/>
          <w:color w:val="000000" w:themeColor="text1"/>
          <w:kern w:val="0"/>
        </w:rPr>
        <w:t>于信托计划成立日起每个开放日及信托计划终止日</w:t>
      </w:r>
      <w:r>
        <w:rPr>
          <w:rFonts w:hAnsi="宋体" w:hint="eastAsia"/>
          <w:color w:val="000000" w:themeColor="text1"/>
        </w:rPr>
        <w:t>（含提前终止日、正常终止日和延期终止日，下同）</w:t>
      </w:r>
      <w:r>
        <w:rPr>
          <w:rFonts w:hint="eastAsia"/>
          <w:color w:val="000000" w:themeColor="text1"/>
          <w:kern w:val="0"/>
        </w:rPr>
        <w:t>（以下简称“费用核算日”）后</w:t>
      </w:r>
      <w:r>
        <w:rPr>
          <w:rFonts w:hint="eastAsia"/>
          <w:color w:val="000000" w:themeColor="text1"/>
          <w:kern w:val="0"/>
        </w:rPr>
        <w:t>1</w:t>
      </w:r>
      <w:r>
        <w:rPr>
          <w:color w:val="000000" w:themeColor="text1"/>
          <w:kern w:val="0"/>
        </w:rPr>
        <w:t>0</w:t>
      </w:r>
      <w:r>
        <w:rPr>
          <w:rFonts w:hint="eastAsia"/>
          <w:color w:val="000000" w:themeColor="text1"/>
          <w:kern w:val="0"/>
        </w:rPr>
        <w:t>个工作日内</w:t>
      </w:r>
      <w:r>
        <w:rPr>
          <w:color w:val="000000" w:themeColor="text1"/>
          <w:kern w:val="0"/>
        </w:rPr>
        <w:t>根据受托人出具的划款指令，将</w:t>
      </w:r>
      <w:r>
        <w:rPr>
          <w:rFonts w:hint="eastAsia"/>
          <w:color w:val="000000" w:themeColor="text1"/>
          <w:kern w:val="0"/>
        </w:rPr>
        <w:t>截至当个费用核算日（不含）已计提未支付的固定</w:t>
      </w:r>
      <w:r>
        <w:rPr>
          <w:color w:val="000000" w:themeColor="text1"/>
          <w:kern w:val="0"/>
        </w:rPr>
        <w:t>信托管理费</w:t>
      </w:r>
      <w:r>
        <w:rPr>
          <w:rFonts w:hint="eastAsia"/>
          <w:color w:val="000000" w:themeColor="text1"/>
          <w:kern w:val="0"/>
        </w:rPr>
        <w:t>从信托财产中</w:t>
      </w:r>
      <w:r>
        <w:rPr>
          <w:color w:val="000000" w:themeColor="text1"/>
          <w:kern w:val="0"/>
        </w:rPr>
        <w:t>向受托人指定账户</w:t>
      </w:r>
      <w:r>
        <w:rPr>
          <w:rFonts w:hint="eastAsia"/>
          <w:color w:val="000000" w:themeColor="text1"/>
          <w:kern w:val="0"/>
        </w:rPr>
        <w:t>划付</w:t>
      </w:r>
      <w:r>
        <w:rPr>
          <w:color w:val="000000" w:themeColor="text1"/>
          <w:kern w:val="0"/>
        </w:rPr>
        <w:t>。</w:t>
      </w:r>
      <w:bookmarkStart w:id="211" w:name="_Hlk57628729"/>
      <w:r>
        <w:rPr>
          <w:rFonts w:hAnsi="宋体" w:hint="eastAsia"/>
          <w:color w:val="000000" w:themeColor="text1"/>
        </w:rPr>
        <w:t>当期信托计划现金资产不足支付的可延期至下一费用核算日</w:t>
      </w:r>
      <w:r>
        <w:rPr>
          <w:rFonts w:hint="eastAsia"/>
          <w:color w:val="000000" w:themeColor="text1"/>
          <w:kern w:val="0"/>
        </w:rPr>
        <w:t>后</w:t>
      </w:r>
      <w:r>
        <w:rPr>
          <w:rFonts w:hint="eastAsia"/>
          <w:color w:val="000000" w:themeColor="text1"/>
          <w:kern w:val="0"/>
        </w:rPr>
        <w:t>1</w:t>
      </w:r>
      <w:r>
        <w:rPr>
          <w:color w:val="000000" w:themeColor="text1"/>
          <w:kern w:val="0"/>
        </w:rPr>
        <w:t>0</w:t>
      </w:r>
      <w:r>
        <w:rPr>
          <w:rFonts w:hint="eastAsia"/>
          <w:color w:val="000000" w:themeColor="text1"/>
          <w:kern w:val="0"/>
        </w:rPr>
        <w:t>个工作日内</w:t>
      </w:r>
      <w:r>
        <w:rPr>
          <w:rFonts w:hAnsi="宋体" w:hint="eastAsia"/>
          <w:color w:val="000000" w:themeColor="text1"/>
        </w:rPr>
        <w:t>进行支付。</w:t>
      </w:r>
      <w:bookmarkEnd w:id="211"/>
      <w:r>
        <w:rPr>
          <w:rFonts w:hint="eastAsia"/>
          <w:color w:val="000000" w:themeColor="text1"/>
          <w:kern w:val="0"/>
        </w:rPr>
        <w:t>若信托计划发生提前终止或延期的，固定信托管理费根据信托计划的实际存续期限并仍按照上述方式计算和支付</w:t>
      </w:r>
      <w:r>
        <w:rPr>
          <w:rFonts w:hint="eastAsia"/>
          <w:color w:val="000000" w:themeColor="text1"/>
          <w:kern w:val="0"/>
          <w:szCs w:val="24"/>
        </w:rPr>
        <w:t>。</w:t>
      </w:r>
      <w:bookmarkEnd w:id="208"/>
      <w:bookmarkEnd w:id="209"/>
      <w:bookmarkEnd w:id="210"/>
    </w:p>
    <w:p w:rsidR="00066166" w:rsidRDefault="00F62BD0">
      <w:pPr>
        <w:pStyle w:val="NormalJustified"/>
        <w:spacing w:beforeLines="100" w:before="312" w:afterLines="100" w:after="312" w:line="300" w:lineRule="auto"/>
        <w:ind w:left="720"/>
        <w:rPr>
          <w:color w:val="000000" w:themeColor="text1"/>
          <w:kern w:val="0"/>
          <w:szCs w:val="24"/>
        </w:rPr>
      </w:pPr>
      <w:r>
        <w:rPr>
          <w:rFonts w:hint="eastAsia"/>
          <w:color w:val="000000" w:themeColor="text1"/>
          <w:kern w:val="0"/>
          <w:szCs w:val="24"/>
        </w:rPr>
        <w:t>全体委托人充分知悉并认可固定</w:t>
      </w:r>
      <w:r>
        <w:rPr>
          <w:rFonts w:hint="eastAsia"/>
          <w:color w:val="000000" w:themeColor="text1"/>
          <w:kern w:val="0"/>
        </w:rPr>
        <w:t>信托受托管理费的设置，</w:t>
      </w:r>
      <w:r>
        <w:rPr>
          <w:rFonts w:hint="eastAsia"/>
          <w:color w:val="000000" w:themeColor="text1"/>
          <w:kern w:val="0"/>
          <w:szCs w:val="24"/>
        </w:rPr>
        <w:t>充分知悉并认可上述固定</w:t>
      </w:r>
      <w:r>
        <w:rPr>
          <w:rFonts w:hint="eastAsia"/>
          <w:color w:val="000000" w:themeColor="text1"/>
          <w:kern w:val="0"/>
        </w:rPr>
        <w:t>信托受托管理费</w:t>
      </w:r>
      <w:r>
        <w:rPr>
          <w:rFonts w:hint="eastAsia"/>
          <w:color w:val="000000" w:themeColor="text1"/>
          <w:kern w:val="0"/>
          <w:szCs w:val="24"/>
        </w:rPr>
        <w:t>的计算方式、收费标准和收取时点等事项的约定。</w:t>
      </w:r>
    </w:p>
    <w:p w:rsidR="00066166" w:rsidRDefault="00F62BD0">
      <w:pPr>
        <w:pStyle w:val="NormalJustified"/>
        <w:widowControl w:val="0"/>
        <w:spacing w:beforeLines="100" w:before="312" w:afterLines="100" w:after="312" w:line="300" w:lineRule="auto"/>
        <w:ind w:left="720"/>
        <w:rPr>
          <w:color w:val="000000" w:themeColor="text1"/>
          <w:szCs w:val="24"/>
        </w:rPr>
      </w:pPr>
      <w:r>
        <w:rPr>
          <w:color w:val="000000" w:themeColor="text1"/>
          <w:szCs w:val="24"/>
        </w:rPr>
        <w:t>非因受托人的原因导致信托目的不能实现</w:t>
      </w:r>
      <w:r>
        <w:rPr>
          <w:rFonts w:hint="eastAsia"/>
          <w:color w:val="000000" w:themeColor="text1"/>
          <w:szCs w:val="24"/>
        </w:rPr>
        <w:t>或信托提前终止</w:t>
      </w:r>
      <w:r>
        <w:rPr>
          <w:color w:val="000000" w:themeColor="text1"/>
          <w:szCs w:val="24"/>
        </w:rPr>
        <w:t>，</w:t>
      </w:r>
      <w:r>
        <w:rPr>
          <w:rFonts w:hint="eastAsia"/>
          <w:color w:val="000000" w:themeColor="text1"/>
          <w:szCs w:val="24"/>
        </w:rPr>
        <w:t>则</w:t>
      </w:r>
      <w:r>
        <w:rPr>
          <w:color w:val="000000" w:themeColor="text1"/>
          <w:szCs w:val="24"/>
        </w:rPr>
        <w:t>信托计划终止时，受托人对此不承担任何责任。受托人已收取的</w:t>
      </w:r>
      <w:r>
        <w:rPr>
          <w:rFonts w:hint="eastAsia"/>
          <w:color w:val="000000" w:themeColor="text1"/>
          <w:szCs w:val="24"/>
        </w:rPr>
        <w:t>信托受托管理费</w:t>
      </w:r>
      <w:r>
        <w:rPr>
          <w:color w:val="000000" w:themeColor="text1"/>
          <w:szCs w:val="24"/>
        </w:rPr>
        <w:t>无需返还。受托人违反信托目的处分信托财产或者因违背管理职责、处理信托事务不当致使信托财产受到损失的，在恢复信托财产的原状或者予以赔偿前，受托人不得请求给付</w:t>
      </w:r>
      <w:r>
        <w:rPr>
          <w:rFonts w:hint="eastAsia"/>
          <w:color w:val="000000" w:themeColor="text1"/>
          <w:szCs w:val="24"/>
        </w:rPr>
        <w:t>信托受托管理费</w:t>
      </w:r>
      <w:r>
        <w:rPr>
          <w:color w:val="000000" w:themeColor="text1"/>
          <w:szCs w:val="24"/>
        </w:rPr>
        <w:t>。</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hAnsi="宋体"/>
          <w:color w:val="000000" w:themeColor="text1"/>
          <w:kern w:val="28"/>
          <w:sz w:val="24"/>
          <w:szCs w:val="20"/>
        </w:rPr>
      </w:pPr>
      <w:r>
        <w:rPr>
          <w:rFonts w:ascii="Times New Roman" w:hAnsi="宋体" w:hint="eastAsia"/>
          <w:color w:val="000000" w:themeColor="text1"/>
          <w:kern w:val="28"/>
          <w:sz w:val="24"/>
          <w:szCs w:val="20"/>
        </w:rPr>
        <w:t>信托期限届满时，若信托财产未全部转换为现金形式的，信托计划期限自动延长至信托财产全部变现之日止，延期期间，受托人仍按照信托合同收取信托受托管理费。</w:t>
      </w:r>
    </w:p>
    <w:p w:rsidR="00066166" w:rsidRDefault="00F62BD0">
      <w:pPr>
        <w:pStyle w:val="-11"/>
        <w:numPr>
          <w:ilvl w:val="2"/>
          <w:numId w:val="1"/>
        </w:numPr>
        <w:tabs>
          <w:tab w:val="left" w:pos="720"/>
          <w:tab w:val="left" w:pos="851"/>
        </w:tabs>
        <w:snapToGrid w:val="0"/>
        <w:spacing w:beforeLines="100" w:before="312" w:afterLines="100" w:after="312" w:line="300" w:lineRule="auto"/>
        <w:ind w:left="720" w:firstLineChars="0" w:hanging="720"/>
        <w:rPr>
          <w:rFonts w:hAnsi="宋体"/>
          <w:color w:val="000000" w:themeColor="text1"/>
          <w:kern w:val="28"/>
          <w:sz w:val="24"/>
          <w:szCs w:val="20"/>
        </w:rPr>
      </w:pPr>
      <w:r>
        <w:rPr>
          <w:rFonts w:ascii="Times New Roman" w:hAnsi="宋体" w:hint="eastAsia"/>
          <w:color w:val="000000" w:themeColor="text1"/>
          <w:kern w:val="28"/>
          <w:sz w:val="24"/>
          <w:szCs w:val="20"/>
        </w:rPr>
        <w:t>委托人同意并确认，除上述受托管理费外，信托利益分配后若信托专户或募集账户有剩余财产的，全部作为信托报酬分配给受托人。</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12" w:name="_Toc164487831"/>
      <w:r>
        <w:rPr>
          <w:rFonts w:ascii="Times New Roman" w:eastAsia="宋体" w:hAnsi="Times New Roman"/>
          <w:color w:val="000000" w:themeColor="text1"/>
          <w:sz w:val="24"/>
          <w:szCs w:val="24"/>
        </w:rPr>
        <w:t>保管银行的保管费</w:t>
      </w:r>
      <w:bookmarkStart w:id="213" w:name="_Ref167045180"/>
    </w:p>
    <w:p w:rsidR="00066166" w:rsidRDefault="00F62BD0">
      <w:pPr>
        <w:pStyle w:val="NormalJustified"/>
        <w:widowControl w:val="0"/>
        <w:spacing w:beforeLines="100" w:before="312" w:afterLines="100" w:after="312" w:line="300" w:lineRule="auto"/>
        <w:ind w:left="720"/>
        <w:rPr>
          <w:color w:val="000000" w:themeColor="text1"/>
          <w:kern w:val="0"/>
        </w:rPr>
      </w:pPr>
      <w:r>
        <w:rPr>
          <w:color w:val="000000" w:themeColor="text1"/>
          <w:kern w:val="0"/>
          <w:szCs w:val="24"/>
        </w:rPr>
        <w:t>在信托计划存续期间，受托人按</w:t>
      </w:r>
      <w:bookmarkStart w:id="214" w:name="_Hlk25341123"/>
      <w:r>
        <w:rPr>
          <w:color w:val="000000" w:themeColor="text1"/>
          <w:kern w:val="0"/>
          <w:szCs w:val="24"/>
        </w:rPr>
        <w:t>《保管协议》的约定</w:t>
      </w:r>
      <w:bookmarkEnd w:id="214"/>
      <w:r>
        <w:rPr>
          <w:color w:val="000000" w:themeColor="text1"/>
          <w:kern w:val="0"/>
          <w:szCs w:val="24"/>
        </w:rPr>
        <w:t>向保管人支付保管费</w:t>
      </w:r>
      <w:bookmarkStart w:id="215" w:name="_Hlk516011678"/>
      <w:bookmarkEnd w:id="213"/>
      <w:r>
        <w:rPr>
          <w:rFonts w:hint="eastAsia"/>
          <w:color w:val="000000" w:themeColor="text1"/>
          <w:kern w:val="0"/>
          <w:szCs w:val="24"/>
        </w:rPr>
        <w:t>，</w:t>
      </w:r>
      <w:r>
        <w:rPr>
          <w:rFonts w:hint="eastAsia"/>
          <w:color w:val="000000" w:themeColor="text1"/>
          <w:kern w:val="0"/>
        </w:rPr>
        <w:t>具体</w:t>
      </w:r>
      <w:r>
        <w:rPr>
          <w:color w:val="000000" w:themeColor="text1"/>
          <w:kern w:val="0"/>
          <w:szCs w:val="24"/>
        </w:rPr>
        <w:t>计算方法和</w:t>
      </w:r>
      <w:r>
        <w:rPr>
          <w:rFonts w:hint="eastAsia"/>
          <w:color w:val="000000" w:themeColor="text1"/>
          <w:kern w:val="0"/>
        </w:rPr>
        <w:t>支付方式以《保管协议》的约定为准。</w:t>
      </w:r>
      <w:bookmarkEnd w:id="215"/>
    </w:p>
    <w:p w:rsidR="00066166" w:rsidRDefault="00F62BD0">
      <w:pPr>
        <w:keepNext/>
        <w:keepLines/>
        <w:numPr>
          <w:ilvl w:val="1"/>
          <w:numId w:val="3"/>
        </w:numPr>
        <w:tabs>
          <w:tab w:val="left" w:pos="720"/>
          <w:tab w:val="left" w:pos="2552"/>
          <w:tab w:val="left" w:pos="5387"/>
        </w:tabs>
        <w:spacing w:beforeLines="100" w:before="312" w:afterLines="100" w:after="312" w:line="300" w:lineRule="auto"/>
        <w:ind w:left="720" w:hanging="720"/>
        <w:outlineLvl w:val="1"/>
        <w:rPr>
          <w:b/>
          <w:bCs/>
          <w:color w:val="000000" w:themeColor="text1"/>
          <w:sz w:val="24"/>
        </w:rPr>
      </w:pPr>
      <w:r>
        <w:rPr>
          <w:b/>
          <w:bCs/>
          <w:color w:val="000000" w:themeColor="text1"/>
          <w:sz w:val="24"/>
        </w:rPr>
        <w:t>代理销售机构的代理</w:t>
      </w:r>
      <w:r>
        <w:rPr>
          <w:rFonts w:hint="eastAsia"/>
          <w:b/>
          <w:bCs/>
          <w:color w:val="000000" w:themeColor="text1"/>
          <w:sz w:val="24"/>
        </w:rPr>
        <w:t>推介</w:t>
      </w:r>
      <w:r>
        <w:rPr>
          <w:b/>
          <w:bCs/>
          <w:color w:val="000000" w:themeColor="text1"/>
          <w:sz w:val="24"/>
        </w:rPr>
        <w:t>费</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CG Times (W1)" w:eastAsia="MingLiU" w:hAnsi="CG Times (W1)"/>
          <w:kern w:val="0"/>
        </w:rPr>
      </w:pPr>
      <w:r>
        <w:rPr>
          <w:rFonts w:hAnsi="宋体" w:hint="eastAsia"/>
          <w:color w:val="000000" w:themeColor="text1"/>
          <w:kern w:val="28"/>
          <w:sz w:val="24"/>
          <w:szCs w:val="20"/>
        </w:rPr>
        <w:t>在信托计划存续期间，受托人按《代理推介合作协议》的约定</w:t>
      </w:r>
      <w:bookmarkStart w:id="216" w:name="_Hlk75982081"/>
      <w:r>
        <w:rPr>
          <w:rFonts w:hAnsi="宋体" w:hint="eastAsia"/>
          <w:color w:val="000000" w:themeColor="text1"/>
          <w:kern w:val="28"/>
          <w:sz w:val="24"/>
          <w:szCs w:val="20"/>
        </w:rPr>
        <w:t>向代销机构支付代理推介费（包括固定代理推介费和浮动代理推介费）。</w:t>
      </w:r>
    </w:p>
    <w:p w:rsidR="00066166" w:rsidRDefault="00F62BD0">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lastRenderedPageBreak/>
        <w:t>（</w:t>
      </w:r>
      <w:r>
        <w:rPr>
          <w:rFonts w:hAnsi="宋体" w:hint="eastAsia"/>
          <w:color w:val="000000" w:themeColor="text1"/>
        </w:rPr>
        <w:t>1</w:t>
      </w:r>
      <w:r>
        <w:rPr>
          <w:rFonts w:hAnsi="宋体" w:hint="eastAsia"/>
          <w:color w:val="000000" w:themeColor="text1"/>
        </w:rPr>
        <w:t>）固定代理推介费</w:t>
      </w:r>
    </w:p>
    <w:p w:rsidR="00066166" w:rsidRDefault="00F62BD0">
      <w:pPr>
        <w:pStyle w:val="NormalJustified"/>
        <w:widowControl w:val="0"/>
        <w:spacing w:beforeLines="100" w:before="312" w:afterLines="100" w:after="312" w:line="300" w:lineRule="auto"/>
        <w:ind w:left="720"/>
        <w:rPr>
          <w:color w:val="000000" w:themeColor="text1"/>
          <w:kern w:val="0"/>
          <w:szCs w:val="24"/>
        </w:rPr>
      </w:pPr>
      <w:r>
        <w:rPr>
          <w:rFonts w:hAnsi="宋体" w:hint="eastAsia"/>
          <w:color w:val="000000" w:themeColor="text1"/>
        </w:rPr>
        <w:t>固定代理推介费年</w:t>
      </w:r>
      <w:r>
        <w:rPr>
          <w:rStyle w:val="af3"/>
          <w:rFonts w:ascii="宋体" w:hAnsi="宋体" w:cs="宋体" w:hint="eastAsia"/>
          <w:kern w:val="0"/>
          <w:sz w:val="24"/>
          <w:szCs w:val="24"/>
          <w:lang w:eastAsia="zh-Hans"/>
        </w:rPr>
        <w:t>费率以</w:t>
      </w:r>
      <w:r>
        <w:rPr>
          <w:rFonts w:hAnsi="宋体" w:hint="eastAsia"/>
          <w:color w:val="000000" w:themeColor="text1"/>
        </w:rPr>
        <w:t>《代理推介合作协议》的约定</w:t>
      </w:r>
      <w:r>
        <w:rPr>
          <w:rStyle w:val="af3"/>
          <w:rFonts w:ascii="宋体" w:hAnsi="宋体" w:cs="宋体" w:hint="eastAsia"/>
          <w:kern w:val="0"/>
          <w:sz w:val="24"/>
          <w:szCs w:val="24"/>
          <w:lang w:eastAsia="zh-Hans"/>
        </w:rPr>
        <w:t>为准，</w:t>
      </w:r>
      <w:r>
        <w:rPr>
          <w:rFonts w:hAnsi="宋体" w:hint="eastAsia"/>
          <w:color w:val="000000" w:themeColor="text1"/>
        </w:rPr>
        <w:t>固定代理推介费</w:t>
      </w:r>
      <w:r>
        <w:rPr>
          <w:rFonts w:hint="eastAsia"/>
          <w:color w:val="000000" w:themeColor="text1"/>
          <w:kern w:val="0"/>
          <w:szCs w:val="24"/>
        </w:rPr>
        <w:t>每日计提，</w:t>
      </w:r>
      <w:r>
        <w:rPr>
          <w:color w:val="000000" w:themeColor="text1"/>
          <w:kern w:val="0"/>
          <w:szCs w:val="24"/>
        </w:rPr>
        <w:t>每日应计提</w:t>
      </w:r>
      <w:r>
        <w:rPr>
          <w:rFonts w:hint="eastAsia"/>
          <w:color w:val="000000" w:themeColor="text1"/>
          <w:kern w:val="0"/>
        </w:rPr>
        <w:t>的</w:t>
      </w:r>
      <w:r>
        <w:rPr>
          <w:rFonts w:hAnsi="宋体" w:hint="eastAsia"/>
          <w:color w:val="000000" w:themeColor="text1"/>
        </w:rPr>
        <w:t>固定代理推介费</w:t>
      </w:r>
      <w:r>
        <w:rPr>
          <w:color w:val="000000" w:themeColor="text1"/>
          <w:kern w:val="0"/>
          <w:szCs w:val="24"/>
        </w:rPr>
        <w:t>＝</w:t>
      </w:r>
      <w:r>
        <w:rPr>
          <w:rFonts w:hint="eastAsia"/>
          <w:color w:val="000000" w:themeColor="text1"/>
          <w:kern w:val="0"/>
        </w:rPr>
        <w:t>前一自然日的信托财产净值（首个计提日</w:t>
      </w:r>
      <w:r>
        <w:rPr>
          <w:color w:val="000000" w:themeColor="text1"/>
          <w:kern w:val="0"/>
        </w:rPr>
        <w:t>计提时为信托计划</w:t>
      </w:r>
      <w:r>
        <w:rPr>
          <w:rFonts w:hAnsi="宋体"/>
          <w:color w:val="000000" w:themeColor="text1"/>
        </w:rPr>
        <w:t>成立</w:t>
      </w:r>
      <w:r>
        <w:rPr>
          <w:rFonts w:hAnsi="宋体" w:hint="eastAsia"/>
          <w:color w:val="000000" w:themeColor="text1"/>
        </w:rPr>
        <w:t>日的信托资金金额）</w:t>
      </w:r>
      <w:r>
        <w:rPr>
          <w:color w:val="000000" w:themeColor="text1"/>
          <w:kern w:val="0"/>
          <w:szCs w:val="24"/>
        </w:rPr>
        <w:t>×</w:t>
      </w:r>
      <w:r>
        <w:rPr>
          <w:rFonts w:hAnsi="宋体" w:hint="eastAsia"/>
          <w:color w:val="000000" w:themeColor="text1"/>
        </w:rPr>
        <w:t>固定代理推介费年</w:t>
      </w:r>
      <w:r>
        <w:rPr>
          <w:rFonts w:hint="eastAsia"/>
          <w:color w:val="000000" w:themeColor="text1"/>
          <w:szCs w:val="24"/>
        </w:rPr>
        <w:t>费率</w:t>
      </w:r>
      <w:r>
        <w:rPr>
          <w:color w:val="000000" w:themeColor="text1"/>
          <w:kern w:val="0"/>
          <w:szCs w:val="24"/>
        </w:rPr>
        <w:t>÷365</w:t>
      </w:r>
      <w:r>
        <w:rPr>
          <w:rFonts w:hint="eastAsia"/>
          <w:color w:val="000000" w:themeColor="text1"/>
          <w:kern w:val="0"/>
          <w:szCs w:val="24"/>
        </w:rPr>
        <w:t>。</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保管人于每个费用核算日后</w:t>
      </w:r>
      <w:r>
        <w:rPr>
          <w:rFonts w:ascii="Times New Roman" w:hAnsi="Times New Roman"/>
          <w:color w:val="000000" w:themeColor="text1"/>
          <w:kern w:val="0"/>
          <w:sz w:val="24"/>
          <w:szCs w:val="24"/>
        </w:rPr>
        <w:t>10</w:t>
      </w:r>
      <w:r>
        <w:rPr>
          <w:rFonts w:ascii="Times New Roman" w:hAnsi="Times New Roman" w:hint="eastAsia"/>
          <w:color w:val="000000" w:themeColor="text1"/>
          <w:kern w:val="0"/>
          <w:sz w:val="24"/>
          <w:szCs w:val="24"/>
        </w:rPr>
        <w:t>个工作日内根据受托人出具的划款指令，将截至当个费用核算日（不含）已计提未支付的</w:t>
      </w:r>
      <w:r>
        <w:rPr>
          <w:rFonts w:hAnsi="宋体" w:hint="eastAsia"/>
          <w:color w:val="000000" w:themeColor="text1"/>
          <w:kern w:val="28"/>
          <w:sz w:val="24"/>
          <w:szCs w:val="20"/>
        </w:rPr>
        <w:t>固定代理推介费</w:t>
      </w:r>
      <w:r>
        <w:rPr>
          <w:rFonts w:ascii="Times New Roman" w:hAnsi="Times New Roman" w:hint="eastAsia"/>
          <w:color w:val="000000" w:themeColor="text1"/>
          <w:kern w:val="0"/>
          <w:sz w:val="24"/>
          <w:szCs w:val="24"/>
        </w:rPr>
        <w:t>从信托财产中向受托人指定的代销机构账户划付。当期信托计划现金资产不足支付的可延期至下一费用核算日后</w:t>
      </w:r>
      <w:r>
        <w:rPr>
          <w:rFonts w:ascii="Times New Roman" w:hAnsi="Times New Roman"/>
          <w:color w:val="000000" w:themeColor="text1"/>
          <w:kern w:val="0"/>
          <w:sz w:val="24"/>
          <w:szCs w:val="24"/>
        </w:rPr>
        <w:t>10</w:t>
      </w:r>
      <w:r>
        <w:rPr>
          <w:rFonts w:ascii="Times New Roman" w:hAnsi="Times New Roman" w:hint="eastAsia"/>
          <w:color w:val="000000" w:themeColor="text1"/>
          <w:kern w:val="0"/>
          <w:sz w:val="24"/>
          <w:szCs w:val="24"/>
        </w:rPr>
        <w:t>个工作日内进行支付。若信托计划发生提前终止或延期的，</w:t>
      </w:r>
      <w:r>
        <w:rPr>
          <w:rFonts w:hAnsi="宋体" w:hint="eastAsia"/>
          <w:color w:val="000000" w:themeColor="text1"/>
          <w:kern w:val="28"/>
          <w:sz w:val="24"/>
          <w:szCs w:val="20"/>
        </w:rPr>
        <w:t>固定代理推介费</w:t>
      </w:r>
      <w:r>
        <w:rPr>
          <w:rFonts w:ascii="Times New Roman" w:hAnsi="Times New Roman" w:hint="eastAsia"/>
          <w:color w:val="000000" w:themeColor="text1"/>
          <w:kern w:val="0"/>
          <w:sz w:val="24"/>
          <w:szCs w:val="24"/>
        </w:rPr>
        <w:t>根据信托计划的实际存续期限并仍按照上述方式计算和支付。</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Fonts w:hAnsi="宋体"/>
          <w:color w:val="000000" w:themeColor="text1"/>
          <w:kern w:val="28"/>
          <w:sz w:val="24"/>
          <w:szCs w:val="20"/>
        </w:rPr>
      </w:pP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2</w:t>
      </w:r>
      <w:r>
        <w:rPr>
          <w:rFonts w:ascii="Times New Roman" w:hAnsi="Times New Roman" w:hint="eastAsia"/>
          <w:color w:val="000000" w:themeColor="text1"/>
          <w:kern w:val="0"/>
          <w:sz w:val="24"/>
          <w:szCs w:val="24"/>
        </w:rPr>
        <w:t>）</w:t>
      </w:r>
      <w:r>
        <w:rPr>
          <w:rFonts w:hAnsi="宋体" w:hint="eastAsia"/>
          <w:color w:val="000000" w:themeColor="text1"/>
          <w:kern w:val="28"/>
          <w:sz w:val="24"/>
          <w:szCs w:val="20"/>
        </w:rPr>
        <w:t>浮动代理推介费</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hint="eastAsia"/>
          <w:kern w:val="0"/>
          <w:sz w:val="24"/>
          <w:szCs w:val="24"/>
          <w:lang w:eastAsia="zh-Hans"/>
        </w:rPr>
        <w:t>浮动代理推介费在信托计划成立日后的每个</w:t>
      </w:r>
      <w:bookmarkStart w:id="217" w:name="_Hlk88150195"/>
      <w:r>
        <w:rPr>
          <w:rStyle w:val="af3"/>
          <w:rFonts w:ascii="宋体" w:hAnsi="宋体" w:cs="宋体" w:hint="eastAsia"/>
          <w:kern w:val="0"/>
          <w:sz w:val="24"/>
          <w:szCs w:val="24"/>
          <w:lang w:eastAsia="zh-Hans"/>
        </w:rPr>
        <w:t>赎回开放日、强制赎回日及信托计划终止日</w:t>
      </w:r>
      <w:bookmarkEnd w:id="217"/>
      <w:r>
        <w:rPr>
          <w:rStyle w:val="af3"/>
          <w:rFonts w:ascii="宋体" w:hAnsi="宋体" w:cs="宋体" w:hint="eastAsia"/>
          <w:kern w:val="0"/>
          <w:sz w:val="24"/>
          <w:szCs w:val="24"/>
          <w:lang w:eastAsia="zh-Hans"/>
        </w:rPr>
        <w:t>（以下简称“计提日”）计提，计提的浮动代理推介费（如有）从该信托单位赎回款项和终止分配款项中扣除。具体计算公式和支付方式如下：</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hint="eastAsia"/>
          <w:kern w:val="0"/>
          <w:sz w:val="24"/>
          <w:szCs w:val="24"/>
          <w:lang w:eastAsia="zh-Hans"/>
        </w:rPr>
        <w:t>各计提日应计提的浮动代理推介费</w:t>
      </w:r>
      <w:r>
        <w:rPr>
          <w:rStyle w:val="af3"/>
          <w:rFonts w:ascii="宋体" w:hAnsi="宋体" w:cs="宋体"/>
          <w:kern w:val="0"/>
          <w:sz w:val="24"/>
          <w:szCs w:val="24"/>
          <w:lang w:eastAsia="zh-Hans"/>
        </w:rPr>
        <w:t>=</w:t>
      </w:r>
      <w:r>
        <w:rPr>
          <w:rStyle w:val="af3"/>
          <w:rFonts w:ascii="宋体" w:hAnsi="宋体" w:cs="宋体" w:hint="eastAsia"/>
          <w:kern w:val="0"/>
          <w:sz w:val="24"/>
          <w:szCs w:val="24"/>
          <w:lang w:eastAsia="zh-Hans"/>
        </w:rPr>
        <w:t>∑当个计提日每份受益人赎回</w:t>
      </w:r>
      <w:r>
        <w:rPr>
          <w:rStyle w:val="af3"/>
          <w:rFonts w:ascii="宋体" w:hAnsi="宋体" w:cs="宋体"/>
          <w:kern w:val="0"/>
          <w:sz w:val="24"/>
          <w:szCs w:val="24"/>
          <w:lang w:eastAsia="zh-Hans"/>
        </w:rPr>
        <w:t>/</w:t>
      </w:r>
      <w:r>
        <w:rPr>
          <w:rStyle w:val="af3"/>
          <w:rFonts w:ascii="宋体" w:hAnsi="宋体" w:cs="宋体" w:hint="eastAsia"/>
          <w:kern w:val="0"/>
          <w:sz w:val="24"/>
          <w:szCs w:val="24"/>
          <w:lang w:eastAsia="zh-Hans"/>
        </w:rPr>
        <w:t>终止退出的信托单位应计提的浮动代理推介费。</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hint="eastAsia"/>
          <w:kern w:val="0"/>
          <w:sz w:val="24"/>
          <w:szCs w:val="24"/>
          <w:lang w:eastAsia="zh-Hans"/>
        </w:rPr>
        <w:t>当个计提日每份信托单位的浮动代理推介费的计提方式如下：</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kern w:val="0"/>
          <w:sz w:val="24"/>
          <w:szCs w:val="24"/>
          <w:lang w:eastAsia="zh-Hans"/>
        </w:rPr>
        <w:t>E=max[N-M</w:t>
      </w:r>
      <w:r>
        <w:rPr>
          <w:rStyle w:val="af3"/>
          <w:rFonts w:ascii="宋体" w:hAnsi="宋体" w:cs="宋体" w:hint="eastAsia"/>
          <w:kern w:val="0"/>
          <w:sz w:val="24"/>
          <w:szCs w:val="24"/>
          <w:lang w:eastAsia="zh-Hans"/>
        </w:rPr>
        <w:t>×</w:t>
      </w:r>
      <w:r>
        <w:rPr>
          <w:rStyle w:val="af3"/>
          <w:rFonts w:ascii="宋体" w:hAnsi="宋体" w:cs="宋体"/>
          <w:kern w:val="0"/>
          <w:sz w:val="24"/>
          <w:szCs w:val="24"/>
          <w:lang w:eastAsia="zh-Hans"/>
        </w:rPr>
        <w:t>(1+</w:t>
      </w:r>
      <w:r>
        <w:rPr>
          <w:rStyle w:val="af3"/>
          <w:rFonts w:ascii="宋体" w:hAnsi="宋体" w:cs="宋体" w:hint="eastAsia"/>
          <w:kern w:val="0"/>
          <w:sz w:val="24"/>
          <w:szCs w:val="24"/>
          <w:lang w:eastAsia="zh-Hans"/>
        </w:rPr>
        <w:t>浮动报酬计提基准×</w:t>
      </w:r>
      <w:r>
        <w:rPr>
          <w:rStyle w:val="af3"/>
          <w:rFonts w:ascii="宋体" w:hAnsi="宋体" w:cs="宋体"/>
          <w:kern w:val="0"/>
          <w:sz w:val="24"/>
          <w:szCs w:val="24"/>
          <w:lang w:eastAsia="zh-Hans"/>
        </w:rPr>
        <w:t>D</w:t>
      </w:r>
      <w:r>
        <w:rPr>
          <w:rStyle w:val="af3"/>
          <w:rFonts w:ascii="宋体" w:hAnsi="宋体" w:cs="宋体" w:hint="eastAsia"/>
          <w:kern w:val="0"/>
          <w:sz w:val="24"/>
          <w:szCs w:val="24"/>
          <w:lang w:eastAsia="zh-Hans"/>
        </w:rPr>
        <w:t>÷</w:t>
      </w:r>
      <w:r>
        <w:rPr>
          <w:rStyle w:val="af3"/>
          <w:rFonts w:ascii="宋体" w:hAnsi="宋体" w:cs="宋体"/>
          <w:kern w:val="0"/>
          <w:sz w:val="24"/>
          <w:szCs w:val="24"/>
          <w:lang w:eastAsia="zh-Hans"/>
        </w:rPr>
        <w:t>365</w:t>
      </w:r>
      <w:r>
        <w:rPr>
          <w:rStyle w:val="af3"/>
          <w:rFonts w:ascii="宋体" w:hAnsi="宋体" w:cs="宋体" w:hint="eastAsia"/>
          <w:kern w:val="0"/>
          <w:sz w:val="24"/>
          <w:szCs w:val="24"/>
          <w:lang w:eastAsia="zh-Hans"/>
        </w:rPr>
        <w:t>），</w:t>
      </w:r>
      <w:r>
        <w:rPr>
          <w:rStyle w:val="af3"/>
          <w:rFonts w:ascii="宋体" w:hAnsi="宋体" w:cs="宋体"/>
          <w:kern w:val="0"/>
          <w:sz w:val="24"/>
          <w:szCs w:val="24"/>
          <w:lang w:eastAsia="zh-Hans"/>
        </w:rPr>
        <w:t>0]</w:t>
      </w:r>
      <w:r>
        <w:rPr>
          <w:rStyle w:val="af3"/>
          <w:rFonts w:ascii="宋体" w:hAnsi="宋体" w:cs="宋体" w:hint="eastAsia"/>
          <w:kern w:val="0"/>
          <w:sz w:val="24"/>
          <w:szCs w:val="24"/>
          <w:lang w:eastAsia="zh-Hans"/>
        </w:rPr>
        <w:t>×【</w:t>
      </w:r>
      <w:r>
        <w:rPr>
          <w:rStyle w:val="af3"/>
          <w:rFonts w:ascii="宋体" w:hAnsi="宋体" w:cs="宋体"/>
          <w:kern w:val="0"/>
          <w:sz w:val="24"/>
          <w:szCs w:val="24"/>
          <w:lang w:eastAsia="zh-Hans"/>
        </w:rPr>
        <w:t>60</w:t>
      </w:r>
      <w:r>
        <w:rPr>
          <w:rStyle w:val="af3"/>
          <w:rFonts w:ascii="宋体" w:hAnsi="宋体" w:cs="宋体" w:hint="eastAsia"/>
          <w:kern w:val="0"/>
          <w:sz w:val="24"/>
          <w:szCs w:val="24"/>
          <w:lang w:eastAsia="zh-Hans"/>
        </w:rPr>
        <w:t>】</w:t>
      </w:r>
      <w:r>
        <w:rPr>
          <w:rStyle w:val="af3"/>
          <w:rFonts w:ascii="宋体" w:hAnsi="宋体" w:cs="宋体"/>
          <w:kern w:val="0"/>
          <w:sz w:val="24"/>
          <w:szCs w:val="24"/>
          <w:lang w:eastAsia="zh-Hans"/>
        </w:rPr>
        <w:t>%</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hint="eastAsia"/>
          <w:kern w:val="0"/>
          <w:sz w:val="24"/>
          <w:szCs w:val="24"/>
          <w:lang w:eastAsia="zh-Hans"/>
        </w:rPr>
        <w:t>上述公式中，</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kern w:val="0"/>
          <w:sz w:val="24"/>
          <w:szCs w:val="24"/>
          <w:lang w:eastAsia="zh-Hans"/>
        </w:rPr>
        <w:t>E</w:t>
      </w:r>
      <w:r>
        <w:rPr>
          <w:rStyle w:val="af3"/>
          <w:rFonts w:ascii="宋体" w:hAnsi="宋体" w:cs="宋体" w:hint="eastAsia"/>
          <w:kern w:val="0"/>
          <w:sz w:val="24"/>
          <w:szCs w:val="24"/>
          <w:lang w:eastAsia="zh-Hans"/>
        </w:rPr>
        <w:t>为该份信托单位应计提的浮动代理推介费；</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kern w:val="0"/>
          <w:sz w:val="24"/>
          <w:szCs w:val="24"/>
          <w:lang w:eastAsia="zh-Hans"/>
        </w:rPr>
        <w:t>N</w:t>
      </w:r>
      <w:r>
        <w:rPr>
          <w:rStyle w:val="af3"/>
          <w:rFonts w:ascii="宋体" w:hAnsi="宋体" w:cs="宋体" w:hint="eastAsia"/>
          <w:kern w:val="0"/>
          <w:sz w:val="24"/>
          <w:szCs w:val="24"/>
          <w:lang w:eastAsia="zh-Hans"/>
        </w:rPr>
        <w:t>为当个计提日的信托单位净值；</w:t>
      </w:r>
      <w:bookmarkStart w:id="218" w:name="_Hlk84939553"/>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kern w:val="0"/>
          <w:sz w:val="24"/>
          <w:szCs w:val="24"/>
          <w:lang w:eastAsia="zh-Hans"/>
        </w:rPr>
        <w:t>M</w:t>
      </w:r>
      <w:r>
        <w:rPr>
          <w:rStyle w:val="af3"/>
          <w:rFonts w:ascii="宋体" w:hAnsi="宋体" w:cs="宋体" w:hint="eastAsia"/>
          <w:kern w:val="0"/>
          <w:sz w:val="24"/>
          <w:szCs w:val="24"/>
          <w:lang w:eastAsia="zh-Hans"/>
        </w:rPr>
        <w:t>为该份信托单位的认购</w:t>
      </w:r>
      <w:r>
        <w:rPr>
          <w:rStyle w:val="af3"/>
          <w:rFonts w:ascii="宋体" w:hAnsi="宋体" w:cs="宋体"/>
          <w:kern w:val="0"/>
          <w:sz w:val="24"/>
          <w:szCs w:val="24"/>
          <w:lang w:eastAsia="zh-Hans"/>
        </w:rPr>
        <w:t>/</w:t>
      </w:r>
      <w:r>
        <w:rPr>
          <w:rStyle w:val="af3"/>
          <w:rFonts w:ascii="宋体" w:hAnsi="宋体" w:cs="宋体" w:hint="eastAsia"/>
          <w:kern w:val="0"/>
          <w:sz w:val="24"/>
          <w:szCs w:val="24"/>
          <w:lang w:eastAsia="zh-Hans"/>
        </w:rPr>
        <w:t>申购价格，其中，如该份信托单位系委托人认购的信托单位的，则该份信托单位的认购价格为</w:t>
      </w:r>
      <w:r>
        <w:rPr>
          <w:rStyle w:val="af3"/>
          <w:rFonts w:ascii="宋体" w:hAnsi="宋体" w:cs="宋体"/>
          <w:kern w:val="0"/>
          <w:sz w:val="24"/>
          <w:szCs w:val="24"/>
          <w:lang w:eastAsia="zh-Hans"/>
        </w:rPr>
        <w:t>1.0000</w:t>
      </w:r>
      <w:r>
        <w:rPr>
          <w:rStyle w:val="af3"/>
          <w:rFonts w:ascii="宋体" w:hAnsi="宋体" w:cs="宋体" w:hint="eastAsia"/>
          <w:kern w:val="0"/>
          <w:sz w:val="24"/>
          <w:szCs w:val="24"/>
          <w:lang w:eastAsia="zh-Hans"/>
        </w:rPr>
        <w:t>，如该份信托单位系委托人申购的信托单位的，则该份信托单位的申购价格为委托人申购该份信托单位的开放日的信托单位净值；</w:t>
      </w:r>
      <w:bookmarkEnd w:id="218"/>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kern w:val="0"/>
          <w:sz w:val="24"/>
          <w:szCs w:val="24"/>
          <w:lang w:eastAsia="zh-Hans"/>
        </w:rPr>
        <w:lastRenderedPageBreak/>
        <w:t>D</w:t>
      </w:r>
      <w:r>
        <w:rPr>
          <w:rStyle w:val="af3"/>
          <w:rFonts w:ascii="宋体" w:hAnsi="宋体" w:cs="宋体" w:hint="eastAsia"/>
          <w:kern w:val="0"/>
          <w:sz w:val="24"/>
          <w:szCs w:val="24"/>
          <w:lang w:eastAsia="zh-Hans"/>
        </w:rPr>
        <w:t>为该份信托单</w:t>
      </w:r>
      <w:r>
        <w:rPr>
          <w:rStyle w:val="af3"/>
          <w:rFonts w:ascii="宋体" w:hAnsi="宋体" w:cs="宋体" w:hint="eastAsia"/>
          <w:kern w:val="0"/>
          <w:sz w:val="24"/>
          <w:szCs w:val="24"/>
          <w:lang w:eastAsia="zh-Hans"/>
        </w:rPr>
        <w:t>位的实际存续天数，即自该份信托单位认购（申购）确认日（含该日）起至该计提日（不含该日）止的实际天数。</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Style w:val="af3"/>
          <w:rFonts w:ascii="宋体" w:hAnsi="宋体" w:cs="宋体" w:hint="eastAsia"/>
          <w:kern w:val="0"/>
          <w:sz w:val="24"/>
          <w:szCs w:val="24"/>
          <w:lang w:eastAsia="zh-Hans"/>
        </w:rPr>
        <w:t>其中，浮动报酬计提基准具体以《认购（申购）条款》</w:t>
      </w:r>
      <w:r>
        <w:rPr>
          <w:rStyle w:val="af3"/>
          <w:rFonts w:ascii="宋体" w:hAnsi="宋体" w:cs="宋体"/>
          <w:kern w:val="0"/>
          <w:sz w:val="24"/>
          <w:szCs w:val="24"/>
          <w:lang w:eastAsia="zh-Hans"/>
        </w:rPr>
        <w:t>/</w:t>
      </w:r>
      <w:r>
        <w:rPr>
          <w:rStyle w:val="af3"/>
          <w:rFonts w:ascii="宋体" w:hAnsi="宋体" w:cs="宋体" w:hint="eastAsia"/>
          <w:kern w:val="0"/>
          <w:sz w:val="24"/>
          <w:szCs w:val="24"/>
          <w:lang w:eastAsia="zh-Hans"/>
        </w:rPr>
        <w:t>《申购申请表》载明为准。</w:t>
      </w:r>
    </w:p>
    <w:p w:rsidR="00066166" w:rsidRDefault="00F62BD0">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3"/>
          <w:rFonts w:ascii="宋体" w:hAnsi="宋体" w:cs="宋体"/>
          <w:kern w:val="0"/>
          <w:sz w:val="24"/>
          <w:szCs w:val="24"/>
          <w:lang w:eastAsia="zh-Hans"/>
        </w:rPr>
      </w:pPr>
      <w:r>
        <w:rPr>
          <w:rFonts w:ascii="Times New Roman" w:hAnsi="Times New Roman" w:hint="eastAsia"/>
          <w:color w:val="000000" w:themeColor="text1"/>
          <w:kern w:val="0"/>
          <w:sz w:val="24"/>
          <w:szCs w:val="24"/>
        </w:rPr>
        <w:t>受托人根据代销机构的要求出具划款指令，保管人</w:t>
      </w:r>
      <w:r>
        <w:rPr>
          <w:rFonts w:ascii="Times New Roman" w:hAnsi="Times New Roman"/>
          <w:color w:val="000000" w:themeColor="text1"/>
          <w:kern w:val="0"/>
          <w:sz w:val="24"/>
          <w:szCs w:val="24"/>
        </w:rPr>
        <w:t>根据受托人出具的划款指令，将</w:t>
      </w:r>
      <w:r>
        <w:rPr>
          <w:rFonts w:ascii="Times New Roman" w:hAnsi="Times New Roman" w:hint="eastAsia"/>
          <w:color w:val="000000" w:themeColor="text1"/>
          <w:kern w:val="0"/>
          <w:sz w:val="24"/>
          <w:szCs w:val="24"/>
        </w:rPr>
        <w:t>已计提未支付的</w:t>
      </w:r>
      <w:r>
        <w:rPr>
          <w:rStyle w:val="af3"/>
          <w:rFonts w:ascii="宋体" w:hAnsi="宋体" w:cs="宋体" w:hint="eastAsia"/>
          <w:kern w:val="0"/>
          <w:sz w:val="24"/>
          <w:szCs w:val="24"/>
          <w:lang w:eastAsia="zh-Hans"/>
        </w:rPr>
        <w:t>浮动代理推介费</w:t>
      </w:r>
      <w:r>
        <w:rPr>
          <w:rFonts w:ascii="Times New Roman" w:hAnsi="Times New Roman" w:hint="eastAsia"/>
          <w:color w:val="000000" w:themeColor="text1"/>
          <w:kern w:val="0"/>
          <w:sz w:val="24"/>
          <w:szCs w:val="24"/>
        </w:rPr>
        <w:t>从信托财产中</w:t>
      </w:r>
      <w:r>
        <w:rPr>
          <w:rFonts w:ascii="Times New Roman" w:hAnsi="Times New Roman"/>
          <w:color w:val="000000" w:themeColor="text1"/>
          <w:kern w:val="0"/>
          <w:sz w:val="24"/>
          <w:szCs w:val="24"/>
        </w:rPr>
        <w:t>向</w:t>
      </w:r>
      <w:r>
        <w:rPr>
          <w:rFonts w:ascii="Times New Roman" w:hAnsi="Times New Roman" w:hint="eastAsia"/>
          <w:color w:val="000000" w:themeColor="text1"/>
          <w:kern w:val="0"/>
          <w:sz w:val="24"/>
          <w:szCs w:val="24"/>
        </w:rPr>
        <w:t>受托人指定的代销机构</w:t>
      </w:r>
      <w:r>
        <w:rPr>
          <w:rFonts w:ascii="Times New Roman" w:hAnsi="Times New Roman"/>
          <w:color w:val="000000" w:themeColor="text1"/>
          <w:kern w:val="0"/>
          <w:sz w:val="24"/>
          <w:szCs w:val="24"/>
        </w:rPr>
        <w:t>账户</w:t>
      </w:r>
      <w:r>
        <w:rPr>
          <w:rFonts w:ascii="Times New Roman" w:hAnsi="Times New Roman" w:hint="eastAsia"/>
          <w:color w:val="000000" w:themeColor="text1"/>
          <w:kern w:val="0"/>
          <w:sz w:val="24"/>
          <w:szCs w:val="24"/>
        </w:rPr>
        <w:t>划付</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若代销机构出具放弃全部或部分已计提未支付的浮动代理推介费的指令的，则代销机构放弃的该全部或部分已计提未支付的浮动代理推介费不可逆地归入信托财产，</w:t>
      </w:r>
      <w:r>
        <w:rPr>
          <w:rStyle w:val="af3"/>
          <w:rFonts w:ascii="宋体" w:hAnsi="宋体" w:cs="宋体" w:hint="eastAsia"/>
          <w:kern w:val="0"/>
          <w:sz w:val="24"/>
          <w:szCs w:val="24"/>
          <w:lang w:eastAsia="zh-Hans"/>
        </w:rPr>
        <w:t>并</w:t>
      </w:r>
      <w:r>
        <w:rPr>
          <w:rStyle w:val="af3"/>
          <w:rFonts w:ascii="宋体" w:hAnsi="宋体" w:cs="宋体" w:hint="eastAsia"/>
          <w:kern w:val="0"/>
          <w:sz w:val="24"/>
          <w:szCs w:val="24"/>
        </w:rPr>
        <w:t>可</w:t>
      </w:r>
      <w:r>
        <w:rPr>
          <w:rStyle w:val="af3"/>
          <w:rFonts w:ascii="宋体" w:hAnsi="宋体" w:cs="宋体" w:hint="eastAsia"/>
          <w:kern w:val="0"/>
          <w:sz w:val="24"/>
          <w:szCs w:val="24"/>
          <w:lang w:eastAsia="zh-Hans"/>
        </w:rPr>
        <w:t>用于向受益人进行分配</w:t>
      </w:r>
      <w:r>
        <w:rPr>
          <w:rStyle w:val="af3"/>
          <w:rFonts w:ascii="宋体" w:hAnsi="宋体" w:cs="宋体" w:hint="eastAsia"/>
          <w:kern w:val="0"/>
          <w:sz w:val="24"/>
          <w:szCs w:val="24"/>
        </w:rPr>
        <w:t>。</w:t>
      </w:r>
    </w:p>
    <w:bookmarkEnd w:id="216"/>
    <w:p w:rsidR="00066166" w:rsidRDefault="00F62BD0">
      <w:pPr>
        <w:pStyle w:val="2"/>
        <w:numPr>
          <w:ilvl w:val="1"/>
          <w:numId w:val="3"/>
        </w:numPr>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其他</w:t>
      </w:r>
      <w:r>
        <w:rPr>
          <w:rFonts w:ascii="Times New Roman" w:eastAsia="宋体" w:hAnsi="Times New Roman"/>
          <w:color w:val="000000" w:themeColor="text1"/>
          <w:sz w:val="24"/>
          <w:szCs w:val="24"/>
        </w:rPr>
        <w:t>信托费用的支付</w:t>
      </w:r>
    </w:p>
    <w:p w:rsidR="00066166" w:rsidRDefault="00F62BD0">
      <w:pPr>
        <w:pStyle w:val="NormalJustified"/>
        <w:widowControl w:val="0"/>
        <w:spacing w:beforeLines="100" w:before="312" w:afterLines="100" w:after="312" w:line="300" w:lineRule="auto"/>
        <w:ind w:left="720"/>
        <w:rPr>
          <w:color w:val="000000" w:themeColor="text1"/>
          <w:kern w:val="2"/>
          <w:szCs w:val="24"/>
        </w:rPr>
      </w:pPr>
      <w:r>
        <w:rPr>
          <w:rFonts w:hint="eastAsia"/>
          <w:color w:val="000000" w:themeColor="text1"/>
          <w:kern w:val="2"/>
          <w:szCs w:val="24"/>
        </w:rPr>
        <w:t>其他</w:t>
      </w:r>
      <w:r>
        <w:rPr>
          <w:color w:val="000000" w:themeColor="text1"/>
          <w:kern w:val="2"/>
          <w:szCs w:val="24"/>
        </w:rPr>
        <w:t>信托费用以信托财产支付，在费用发生时由受托人指令保管人从信托财产专户中支付。</w:t>
      </w:r>
      <w:bookmarkEnd w:id="212"/>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19" w:name="_Toc164487832"/>
      <w:r>
        <w:rPr>
          <w:rFonts w:ascii="Times New Roman" w:eastAsia="宋体" w:hAnsi="Times New Roman"/>
          <w:color w:val="000000" w:themeColor="text1"/>
          <w:sz w:val="24"/>
          <w:szCs w:val="24"/>
        </w:rPr>
        <w:t>税收处理</w:t>
      </w:r>
      <w:bookmarkEnd w:id="219"/>
    </w:p>
    <w:p w:rsidR="00066166" w:rsidRDefault="00F62BD0">
      <w:pPr>
        <w:pStyle w:val="NormalJustified"/>
        <w:widowControl w:val="0"/>
        <w:spacing w:beforeLines="100" w:before="312" w:afterLines="100" w:after="312" w:line="300" w:lineRule="auto"/>
        <w:ind w:left="720"/>
        <w:rPr>
          <w:color w:val="000000" w:themeColor="text1"/>
          <w:kern w:val="0"/>
          <w:szCs w:val="24"/>
        </w:rPr>
      </w:pPr>
      <w:r>
        <w:rPr>
          <w:rFonts w:hint="eastAsia"/>
          <w:color w:val="000000"/>
          <w:kern w:val="0"/>
          <w:szCs w:val="24"/>
        </w:rPr>
        <w:t>除本合同另有约定，</w:t>
      </w:r>
      <w:r>
        <w:rPr>
          <w:rFonts w:hint="eastAsia"/>
          <w:color w:val="000000" w:themeColor="text1"/>
          <w:kern w:val="0"/>
          <w:szCs w:val="24"/>
        </w:rPr>
        <w:t>本信托计划期限内所涉及的税务问题，按国家的有关法律、法规和政策办理。对于法律、法规和政策没有明文规定的信托行为的税务问题，按照政府部门的相关规定办理。</w:t>
      </w:r>
    </w:p>
    <w:p w:rsidR="00066166" w:rsidRDefault="00F62BD0">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szCs w:val="24"/>
        </w:rPr>
        <w:t>信托财产管理、运用、处分和分配过程中发生的税费</w:t>
      </w:r>
      <w:r>
        <w:rPr>
          <w:rFonts w:hint="eastAsia"/>
          <w:color w:val="000000"/>
          <w:kern w:val="2"/>
          <w:szCs w:val="24"/>
        </w:rPr>
        <w:t>（包括但不限于增值税及附加）</w:t>
      </w:r>
      <w:r>
        <w:rPr>
          <w:rFonts w:hint="eastAsia"/>
          <w:color w:val="000000" w:themeColor="text1"/>
          <w:kern w:val="0"/>
          <w:szCs w:val="24"/>
        </w:rPr>
        <w:t>，由信托财产承担。除法律法规另有规定外，受益人应就其各自在本信托计划项下所获得的信托利益自行依法纳税，受托人不承担代扣代缴义务。</w:t>
      </w:r>
    </w:p>
    <w:p w:rsidR="00066166" w:rsidRDefault="00F62BD0">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szCs w:val="24"/>
        </w:rPr>
        <w:t>若在本信托计划存续期间，依据相关法律法规的规定，受托人须在向受益人交付信托利益前预提或代扣代缴任何税费，则受托人有权按照相关法律法规的规定予以预提或扣缴，无需事先征得受益人或其他第三方的同意，且受益人或其他第三方不得要求受托人以其他方式向其支付该等或额外款项。</w:t>
      </w:r>
    </w:p>
    <w:p w:rsidR="00066166" w:rsidRDefault="00066166">
      <w:pPr>
        <w:pStyle w:val="NormalJustified"/>
        <w:widowControl w:val="0"/>
        <w:spacing w:beforeLines="100" w:before="312" w:afterLines="100" w:after="312" w:line="300" w:lineRule="auto"/>
        <w:ind w:left="720"/>
        <w:rPr>
          <w:color w:val="000000" w:themeColor="text1"/>
          <w:kern w:val="0"/>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20" w:name="_Toc13016388"/>
      <w:bookmarkStart w:id="221" w:name="_Toc164487833"/>
      <w:bookmarkStart w:id="222" w:name="_Toc91143612"/>
      <w:r>
        <w:rPr>
          <w:color w:val="000000" w:themeColor="text1"/>
          <w:sz w:val="24"/>
          <w:szCs w:val="24"/>
        </w:rPr>
        <w:lastRenderedPageBreak/>
        <w:t>信托计划的终止和信托计划终止后信托财产的归属</w:t>
      </w:r>
      <w:bookmarkEnd w:id="220"/>
      <w:bookmarkEnd w:id="221"/>
      <w:bookmarkEnd w:id="222"/>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23" w:name="_Ref244790507"/>
      <w:bookmarkStart w:id="224" w:name="_Ref247015775"/>
      <w:bookmarkStart w:id="225" w:name="_Toc164487834"/>
      <w:r>
        <w:rPr>
          <w:rFonts w:ascii="Times New Roman" w:eastAsia="宋体" w:hAnsi="Times New Roman"/>
          <w:color w:val="000000" w:themeColor="text1"/>
          <w:sz w:val="24"/>
          <w:szCs w:val="24"/>
        </w:rPr>
        <w:t>信托计划的终止</w:t>
      </w:r>
      <w:bookmarkEnd w:id="223"/>
      <w:bookmarkEnd w:id="224"/>
      <w:bookmarkEnd w:id="225"/>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bookmarkStart w:id="226" w:name="_Ref237157745"/>
      <w:r>
        <w:rPr>
          <w:rFonts w:hint="eastAsia"/>
          <w:color w:val="000000" w:themeColor="text1"/>
        </w:rPr>
        <w:t>以下任一情形发生时，受托人可宣布本信托计划终止</w:t>
      </w:r>
      <w:r>
        <w:rPr>
          <w:color w:val="000000" w:themeColor="text1"/>
        </w:rPr>
        <w:t>：</w:t>
      </w:r>
      <w:bookmarkEnd w:id="226"/>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Ansi="宋体" w:hint="eastAsia"/>
          <w:color w:val="000000" w:themeColor="text1"/>
        </w:rPr>
        <w:t>本信托计划</w:t>
      </w:r>
      <w:r>
        <w:rPr>
          <w:color w:val="000000" w:themeColor="text1"/>
          <w:kern w:val="2"/>
          <w:szCs w:val="24"/>
        </w:rPr>
        <w:t>的期限届满且未发生本合同约定的信托计划延期的情形；</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信托计划按照信托合同</w:t>
      </w:r>
      <w:r>
        <w:rPr>
          <w:rFonts w:hint="eastAsia"/>
          <w:color w:val="000000" w:themeColor="text1"/>
          <w:kern w:val="2"/>
          <w:szCs w:val="24"/>
        </w:rPr>
        <w:t>的</w:t>
      </w:r>
      <w:r>
        <w:rPr>
          <w:color w:val="000000" w:themeColor="text1"/>
          <w:kern w:val="2"/>
          <w:szCs w:val="24"/>
        </w:rPr>
        <w:t>约定顺延的期限届满；</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rPr>
      </w:pPr>
      <w:r>
        <w:rPr>
          <w:color w:val="000000" w:themeColor="text1"/>
          <w:kern w:val="2"/>
          <w:szCs w:val="24"/>
        </w:rPr>
        <w:t>信托</w:t>
      </w:r>
      <w:r>
        <w:rPr>
          <w:rFonts w:hint="eastAsia"/>
          <w:color w:val="000000" w:themeColor="text1"/>
        </w:rPr>
        <w:t>财产分配完毕；</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信托目的已经实现或不能实现；</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受益人大会决议终止本信托计划；</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rPr>
        <w:t>受托人职责终止，且未能按照信托合同的约定产生新受托人</w:t>
      </w:r>
      <w:r>
        <w:rPr>
          <w:color w:val="000000" w:themeColor="text1"/>
          <w:kern w:val="2"/>
          <w:szCs w:val="24"/>
        </w:rPr>
        <w:t>；</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由于本信托计划投资的标的资管产品未备案成功或提前结束等原因导致信托财产全部变现的；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如受托人赎回全部标的资管产品份额的，受托人有权根据信托计划非现金资产变现情况，自行择机决定终止本信托计划；</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rPr>
        <w:t>标的资管产品未备案成功或提前结束等原因导致信托财产全部变现的；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kern w:val="2"/>
          <w:szCs w:val="24"/>
        </w:rPr>
        <w:t>如信托计划申购标的资管产品失败的，受托人有权根据信托计划非现金资产变现情况自行择机决定终止本信托计划；</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信托计划的存续规模低于【</w:t>
      </w:r>
      <w:r>
        <w:rPr>
          <w:color w:val="000000" w:themeColor="text1"/>
          <w:kern w:val="2"/>
          <w:szCs w:val="24"/>
        </w:rPr>
        <w:t>1000</w:t>
      </w:r>
      <w:r>
        <w:rPr>
          <w:rFonts w:hint="eastAsia"/>
          <w:color w:val="000000" w:themeColor="text1"/>
          <w:kern w:val="2"/>
          <w:szCs w:val="24"/>
        </w:rPr>
        <w:t>】万元，受托人有权根据信托计划运行情况决定不再进行继续投资且信托财产提前全部变现的；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受益人按照信托文件约定赎回全部信托单位且无投资者成功申购信托单位的；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本信托计划投资的标的资管产品</w:t>
      </w:r>
      <w:r>
        <w:rPr>
          <w:rFonts w:hint="eastAsia"/>
          <w:color w:val="000000" w:themeColor="text1"/>
          <w:kern w:val="2"/>
          <w:szCs w:val="24"/>
        </w:rPr>
        <w:t>提前到期或提前</w:t>
      </w:r>
      <w:r>
        <w:rPr>
          <w:color w:val="000000" w:themeColor="text1"/>
          <w:kern w:val="2"/>
          <w:szCs w:val="24"/>
        </w:rPr>
        <w:t>终止的</w:t>
      </w:r>
      <w:r>
        <w:rPr>
          <w:rFonts w:hint="eastAsia"/>
          <w:color w:val="000000" w:themeColor="text1"/>
          <w:kern w:val="2"/>
          <w:szCs w:val="24"/>
        </w:rPr>
        <w:t>，受托人有权根据信托计划项下非现金资产变现情况决定提前终止信托计划；</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信托财产提前全部变现的，且届时受托人决定不再进行继续投资的；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lastRenderedPageBreak/>
        <w:t>受托人</w:t>
      </w:r>
      <w:r>
        <w:rPr>
          <w:rFonts w:hint="eastAsia"/>
          <w:color w:val="000000" w:themeColor="text1"/>
          <w:kern w:val="2"/>
          <w:szCs w:val="24"/>
        </w:rPr>
        <w:t>根据信托计划运行情况决定终止本信托计划的；</w:t>
      </w:r>
    </w:p>
    <w:p w:rsidR="00066166" w:rsidRDefault="00F62BD0">
      <w:pPr>
        <w:pStyle w:val="NormalJustified"/>
        <w:widowControl w:val="0"/>
        <w:numPr>
          <w:ilvl w:val="0"/>
          <w:numId w:val="23"/>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中国</w:t>
      </w:r>
      <w:r>
        <w:rPr>
          <w:color w:val="000000" w:themeColor="text1"/>
          <w:kern w:val="2"/>
          <w:szCs w:val="24"/>
        </w:rPr>
        <w:t>法律规定和信托合同约定的其他事由。</w:t>
      </w:r>
    </w:p>
    <w:p w:rsidR="00066166" w:rsidRDefault="00F62BD0">
      <w:pPr>
        <w:pStyle w:val="NormalJustified"/>
        <w:widowControl w:val="0"/>
        <w:spacing w:beforeLines="100" w:before="312" w:afterLines="100" w:after="312" w:line="300" w:lineRule="auto"/>
        <w:ind w:left="720"/>
        <w:rPr>
          <w:b/>
          <w:bCs/>
          <w:color w:val="000000" w:themeColor="text1"/>
          <w:kern w:val="2"/>
          <w:szCs w:val="24"/>
        </w:rPr>
      </w:pPr>
      <w:r>
        <w:rPr>
          <w:rFonts w:ascii="仿宋_GB2312" w:hint="eastAsia"/>
          <w:b/>
          <w:bCs/>
          <w:color w:val="000000" w:themeColor="text1"/>
        </w:rPr>
        <w:t>出现上述情形，受托人宣布信托计划终止之日为信托计划终止日。若发生上述信托计划终止情形但</w:t>
      </w:r>
      <w:r>
        <w:rPr>
          <w:rFonts w:ascii="仿宋_GB2312" w:hint="eastAsia"/>
          <w:b/>
          <w:bCs/>
          <w:color w:val="000000" w:themeColor="text1"/>
        </w:rPr>
        <w:t>因各种原因导致信托财产无法及时变现的，信托计划自动延期至信托财产全部变现之日止。</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信托计划不因委托人</w:t>
      </w:r>
      <w:r>
        <w:rPr>
          <w:rFonts w:hint="eastAsia"/>
          <w:color w:val="000000"/>
        </w:rPr>
        <w:t>解散、破产或被撤销（适用于机构委托人）或委托人死亡、丧失民事能力（适用于自然人委托人）</w:t>
      </w:r>
      <w:r>
        <w:rPr>
          <w:color w:val="000000" w:themeColor="text1"/>
        </w:rPr>
        <w:t>或受托人的解散、破产或被撤销而终止，也不因受托人的解任或辞任而终止。</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27" w:name="_Toc239215508"/>
      <w:bookmarkStart w:id="228" w:name="_Toc164487835"/>
      <w:bookmarkEnd w:id="227"/>
      <w:r>
        <w:rPr>
          <w:rFonts w:ascii="Times New Roman" w:eastAsia="宋体" w:hAnsi="Times New Roman"/>
          <w:color w:val="000000" w:themeColor="text1"/>
          <w:sz w:val="24"/>
          <w:szCs w:val="24"/>
        </w:rPr>
        <w:t>清算</w:t>
      </w:r>
    </w:p>
    <w:p w:rsidR="00066166" w:rsidRDefault="00F62BD0">
      <w:pPr>
        <w:pStyle w:val="NormalJustified"/>
        <w:widowControl w:val="0"/>
        <w:spacing w:beforeLines="100" w:before="312" w:afterLines="100" w:after="312" w:line="300" w:lineRule="auto"/>
        <w:ind w:leftChars="342" w:left="718"/>
        <w:rPr>
          <w:color w:val="000000" w:themeColor="text1"/>
        </w:rPr>
      </w:pPr>
      <w:r>
        <w:rPr>
          <w:color w:val="000000" w:themeColor="text1"/>
        </w:rPr>
        <w:t>信托计划终止后，受托人应负责信托财产的保管、清理、变现和清算，保管人提供必要的协助。受托人应在信托计划终止后</w:t>
      </w:r>
      <w:r>
        <w:rPr>
          <w:color w:val="000000" w:themeColor="text1"/>
        </w:rPr>
        <w:t>10</w:t>
      </w:r>
      <w:r>
        <w:rPr>
          <w:color w:val="000000" w:themeColor="text1"/>
        </w:rPr>
        <w:t>个工作日内做出处理信托事务的清算报告，并向受益人披露。本信托计划的清算报告</w:t>
      </w:r>
      <w:r>
        <w:rPr>
          <w:rFonts w:hint="eastAsia"/>
          <w:color w:val="000000" w:themeColor="text1"/>
        </w:rPr>
        <w:t>无需</w:t>
      </w:r>
      <w:r>
        <w:rPr>
          <w:color w:val="000000" w:themeColor="text1"/>
        </w:rPr>
        <w:t>聘请会计师事务所进行审计。受益人在处理信托事务的清算报告公布之日起</w:t>
      </w:r>
      <w:r>
        <w:rPr>
          <w:rFonts w:hint="eastAsia"/>
          <w:color w:val="000000" w:themeColor="text1"/>
        </w:rPr>
        <w:t>10</w:t>
      </w:r>
      <w:r>
        <w:rPr>
          <w:color w:val="000000" w:themeColor="text1"/>
        </w:rPr>
        <w:t>个工作日内未提出书面异议的，受托人就清算报告所列事项解除责任。</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信托计划终止后信托财产的归属</w:t>
      </w:r>
      <w:bookmarkEnd w:id="228"/>
    </w:p>
    <w:p w:rsidR="00066166" w:rsidRDefault="00F62BD0">
      <w:pPr>
        <w:pStyle w:val="NormalJustified"/>
        <w:widowControl w:val="0"/>
        <w:spacing w:beforeLines="100" w:before="312" w:afterLines="100" w:after="312" w:line="300" w:lineRule="auto"/>
        <w:ind w:leftChars="342" w:left="718"/>
        <w:rPr>
          <w:color w:val="000000" w:themeColor="text1"/>
        </w:rPr>
      </w:pPr>
      <w:r>
        <w:rPr>
          <w:color w:val="000000" w:themeColor="text1"/>
        </w:rPr>
        <w:t>信托计划终止并进行清算后的信托财产由受托人按照本合同第</w:t>
      </w:r>
      <w:r>
        <w:rPr>
          <w:rFonts w:hint="eastAsia"/>
          <w:color w:val="000000" w:themeColor="text1"/>
        </w:rPr>
        <w:t>十条</w:t>
      </w:r>
      <w:r>
        <w:rPr>
          <w:color w:val="000000" w:themeColor="text1"/>
        </w:rPr>
        <w:t>的约定进行分配</w:t>
      </w:r>
      <w:r>
        <w:rPr>
          <w:rFonts w:hint="eastAsia"/>
          <w:color w:val="000000" w:themeColor="text1"/>
        </w:rPr>
        <w:t>。在信托财产清算分配完毕后，信托财产专户销户时如有剩余资金，则剩余资金作为受托人的信托报酬分配给受托人。</w:t>
      </w:r>
    </w:p>
    <w:p w:rsidR="00066166" w:rsidRDefault="00066166">
      <w:pPr>
        <w:pStyle w:val="NormalJustified"/>
        <w:widowControl w:val="0"/>
        <w:spacing w:beforeLines="100" w:before="312" w:afterLines="100" w:after="312" w:line="300" w:lineRule="auto"/>
        <w:ind w:leftChars="342" w:left="718"/>
        <w:rPr>
          <w:color w:val="000000" w:themeColor="text1"/>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29" w:name="_Toc13016389"/>
      <w:bookmarkStart w:id="230" w:name="_Toc164487836"/>
      <w:bookmarkStart w:id="231" w:name="_Toc91143613"/>
      <w:r>
        <w:rPr>
          <w:color w:val="000000" w:themeColor="text1"/>
          <w:sz w:val="24"/>
          <w:szCs w:val="24"/>
        </w:rPr>
        <w:t>委托人的陈述和保证</w:t>
      </w:r>
      <w:bookmarkEnd w:id="229"/>
      <w:bookmarkEnd w:id="230"/>
      <w:bookmarkEnd w:id="231"/>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委托人向受托人做出以下的陈述和保证，下述各项陈述和保证均属真实和正确：</w:t>
      </w:r>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合法存续</w:t>
      </w:r>
      <w:r>
        <w:rPr>
          <w:color w:val="000000" w:themeColor="text1"/>
          <w:kern w:val="2"/>
          <w:szCs w:val="24"/>
        </w:rPr>
        <w:t>。</w:t>
      </w:r>
      <w:r>
        <w:rPr>
          <w:rFonts w:hAnsi="宋体"/>
          <w:color w:val="000000" w:themeColor="text1"/>
          <w:kern w:val="2"/>
          <w:szCs w:val="24"/>
        </w:rPr>
        <w:t>在</w:t>
      </w:r>
      <w:r>
        <w:rPr>
          <w:rFonts w:hAnsi="宋体" w:hint="eastAsia"/>
          <w:color w:val="000000" w:themeColor="text1"/>
          <w:kern w:val="2"/>
        </w:rPr>
        <w:t>委托人</w:t>
      </w:r>
      <w:r>
        <w:rPr>
          <w:rFonts w:hAnsi="宋体"/>
          <w:color w:val="000000" w:themeColor="text1"/>
          <w:kern w:val="2"/>
          <w:szCs w:val="24"/>
        </w:rPr>
        <w:t>为机构投资者的情形，委托人是一家按照中国法律</w:t>
      </w:r>
      <w:r>
        <w:rPr>
          <w:rFonts w:hAnsi="宋体"/>
          <w:color w:val="000000" w:themeColor="text1"/>
        </w:rPr>
        <w:t>合法成立的法人或者</w:t>
      </w:r>
      <w:r>
        <w:rPr>
          <w:rFonts w:hAnsi="宋体" w:hint="eastAsia"/>
          <w:color w:val="000000" w:themeColor="text1"/>
          <w:lang w:eastAsia="zh-Hans"/>
        </w:rPr>
        <w:t>非法人</w:t>
      </w:r>
      <w:r>
        <w:rPr>
          <w:rFonts w:hAnsi="宋体"/>
          <w:color w:val="000000" w:themeColor="text1"/>
        </w:rPr>
        <w:t>组织</w:t>
      </w:r>
      <w:r>
        <w:rPr>
          <w:rFonts w:hAnsi="宋体"/>
          <w:color w:val="000000" w:themeColor="text1"/>
          <w:kern w:val="2"/>
          <w:szCs w:val="24"/>
        </w:rPr>
        <w:t>，并合法存续；在委托人为自然人的情形，委托人为</w:t>
      </w:r>
      <w:r>
        <w:rPr>
          <w:rFonts w:hAnsi="宋体"/>
          <w:color w:val="000000" w:themeColor="text1"/>
        </w:rPr>
        <w:t>在中国境内居住的具有完全民事行为能力的自然人</w:t>
      </w:r>
      <w:r>
        <w:rPr>
          <w:rFonts w:hAnsi="宋体"/>
          <w:color w:val="000000" w:themeColor="text1"/>
          <w:kern w:val="2"/>
          <w:szCs w:val="24"/>
        </w:rPr>
        <w:t>。</w:t>
      </w:r>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具备合格投资者的资质要求</w:t>
      </w:r>
      <w:r>
        <w:rPr>
          <w:color w:val="000000" w:themeColor="text1"/>
          <w:kern w:val="2"/>
          <w:szCs w:val="24"/>
        </w:rPr>
        <w:t>。委托人已认真阅读了信托计划的募集文件，</w:t>
      </w:r>
      <w:r>
        <w:rPr>
          <w:color w:val="000000" w:themeColor="text1"/>
          <w:kern w:val="2"/>
          <w:szCs w:val="24"/>
        </w:rPr>
        <w:lastRenderedPageBreak/>
        <w:t>委托人符合法律所规定的委托人的各项资质要求，委托人对信托计划的投资符合法律的规定。</w:t>
      </w:r>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合法授权</w:t>
      </w:r>
      <w:r>
        <w:rPr>
          <w:color w:val="000000" w:themeColor="text1"/>
          <w:kern w:val="2"/>
          <w:szCs w:val="24"/>
        </w:rPr>
        <w:t>。委托人对本合同</w:t>
      </w:r>
      <w:r>
        <w:rPr>
          <w:rFonts w:hint="eastAsia"/>
          <w:color w:val="000000" w:themeColor="text1"/>
          <w:kern w:val="2"/>
          <w:szCs w:val="24"/>
        </w:rPr>
        <w:t>及信托文件</w:t>
      </w:r>
      <w:r>
        <w:rPr>
          <w:color w:val="000000" w:themeColor="text1"/>
          <w:kern w:val="2"/>
          <w:szCs w:val="24"/>
        </w:rPr>
        <w:t>的签署、交付和履行，以及委托人作为当事人一方对与本合同</w:t>
      </w:r>
      <w:r>
        <w:rPr>
          <w:rFonts w:hint="eastAsia"/>
          <w:color w:val="000000" w:themeColor="text1"/>
          <w:kern w:val="2"/>
          <w:szCs w:val="24"/>
        </w:rPr>
        <w:t>及</w:t>
      </w:r>
      <w:r>
        <w:rPr>
          <w:color w:val="000000" w:themeColor="text1"/>
          <w:kern w:val="2"/>
          <w:szCs w:val="24"/>
        </w:rPr>
        <w:t>有关的其他协议、承诺及文件的签署、交付和履行，是在其权利范围内的，</w:t>
      </w:r>
      <w:r>
        <w:rPr>
          <w:rFonts w:hint="eastAsia"/>
          <w:color w:val="000000" w:themeColor="text1"/>
          <w:kern w:val="2"/>
          <w:szCs w:val="24"/>
        </w:rPr>
        <w:t>且已</w:t>
      </w:r>
      <w:r>
        <w:rPr>
          <w:color w:val="000000" w:themeColor="text1"/>
          <w:kern w:val="2"/>
          <w:szCs w:val="24"/>
        </w:rPr>
        <w:t>得到必要的</w:t>
      </w:r>
      <w:r>
        <w:rPr>
          <w:rFonts w:hint="eastAsia"/>
          <w:color w:val="000000" w:themeColor="text1"/>
          <w:kern w:val="2"/>
          <w:szCs w:val="24"/>
        </w:rPr>
        <w:t>批准、</w:t>
      </w:r>
      <w:r>
        <w:rPr>
          <w:color w:val="000000" w:themeColor="text1"/>
          <w:kern w:val="2"/>
          <w:szCs w:val="24"/>
        </w:rPr>
        <w:t>授权，并不会导致其违反对其具有约束力的法律和合同、协议等契约性文件约定的其对第三方所负的义务。</w:t>
      </w:r>
      <w:r>
        <w:rPr>
          <w:rFonts w:hint="eastAsia"/>
          <w:kern w:val="2"/>
          <w:szCs w:val="24"/>
        </w:rPr>
        <w:t>委托人签署本合同认购信托单位并履行本合同项下各项义务均系其真实意思表示，不损害国家利益、社会公共利益或者他人合法权益、不违背公序良俗。</w:t>
      </w:r>
    </w:p>
    <w:p w:rsidR="00066166" w:rsidRDefault="00F62BD0">
      <w:pPr>
        <w:pStyle w:val="NormalJustified"/>
        <w:widowControl w:val="0"/>
        <w:numPr>
          <w:ilvl w:val="0"/>
          <w:numId w:val="24"/>
        </w:numPr>
        <w:tabs>
          <w:tab w:val="left" w:pos="540"/>
        </w:tabs>
        <w:spacing w:beforeLines="100" w:before="312" w:afterLines="100" w:after="312" w:line="300" w:lineRule="auto"/>
        <w:rPr>
          <w:b/>
          <w:bCs/>
          <w:color w:val="000000" w:themeColor="text1"/>
          <w:kern w:val="2"/>
          <w:szCs w:val="24"/>
        </w:rPr>
      </w:pPr>
      <w:r>
        <w:rPr>
          <w:b/>
          <w:color w:val="000000" w:themeColor="text1"/>
          <w:kern w:val="2"/>
          <w:szCs w:val="24"/>
          <w:u w:val="single"/>
        </w:rPr>
        <w:t xml:space="preserve"> </w:t>
      </w:r>
      <w:r>
        <w:rPr>
          <w:b/>
          <w:color w:val="000000" w:themeColor="text1"/>
          <w:kern w:val="2"/>
          <w:szCs w:val="24"/>
          <w:u w:val="single"/>
        </w:rPr>
        <w:t>信托财产来源及用途合法</w:t>
      </w:r>
      <w:r>
        <w:rPr>
          <w:color w:val="000000" w:themeColor="text1"/>
          <w:kern w:val="2"/>
          <w:szCs w:val="24"/>
        </w:rPr>
        <w:t>。委托人按照本合同委托给受托人管理、运用的资</w:t>
      </w:r>
      <w:r>
        <w:rPr>
          <w:color w:val="000000" w:themeColor="text1"/>
          <w:kern w:val="2"/>
          <w:szCs w:val="24"/>
        </w:rPr>
        <w:t xml:space="preserve">  </w:t>
      </w:r>
      <w:r>
        <w:rPr>
          <w:color w:val="000000" w:themeColor="text1"/>
          <w:kern w:val="2"/>
          <w:szCs w:val="24"/>
        </w:rPr>
        <w:t>金来源</w:t>
      </w:r>
      <w:r>
        <w:rPr>
          <w:rFonts w:hint="eastAsia"/>
          <w:color w:val="000000" w:themeColor="text1"/>
          <w:kern w:val="2"/>
          <w:szCs w:val="24"/>
        </w:rPr>
        <w:t>合法且有完全、合法的处分权，</w:t>
      </w:r>
      <w:r>
        <w:rPr>
          <w:kern w:val="2"/>
          <w:szCs w:val="24"/>
        </w:rPr>
        <w:t>为委托人的自有资金，不是募集资金或</w:t>
      </w:r>
      <w:r>
        <w:rPr>
          <w:bCs/>
          <w:kern w:val="2"/>
          <w:szCs w:val="24"/>
        </w:rPr>
        <w:t>《关于规范金融机构资产管理业务的指导意见》规定的</w:t>
      </w:r>
      <w:r>
        <w:rPr>
          <w:kern w:val="2"/>
          <w:szCs w:val="24"/>
        </w:rPr>
        <w:t>资产管理产品项下委托资金，</w:t>
      </w:r>
      <w:r>
        <w:rPr>
          <w:rFonts w:hint="eastAsia"/>
          <w:color w:val="000000" w:themeColor="text1"/>
          <w:kern w:val="2"/>
          <w:szCs w:val="24"/>
        </w:rPr>
        <w:t>不是毒品犯罪、黑社会性质组织犯罪、恐怖活动犯罪、走私犯罪、贪污贿赂犯</w:t>
      </w:r>
      <w:r>
        <w:rPr>
          <w:rFonts w:hint="eastAsia"/>
          <w:color w:val="000000" w:themeColor="text1"/>
          <w:kern w:val="2"/>
          <w:szCs w:val="24"/>
        </w:rPr>
        <w:t>罪、破坏金融管理秩序犯罪、金融诈骗犯罪等犯罪所得，并非金融机构信贷资金、借贷资金或其他负债资金，并非使用贷款、发行债券等筹集的非自有资金，且不存在任何已有的或潜在的法律风险。委托人承诺委托人有合法且完整的权利将资金用于本信托计划，该等运用符合法律、法规、规范性文件及其相关合同的要求</w:t>
      </w:r>
      <w:r>
        <w:rPr>
          <w:color w:val="000000" w:themeColor="text1"/>
          <w:kern w:val="2"/>
          <w:szCs w:val="24"/>
        </w:rPr>
        <w:t>，并符合相关产业政策和信贷政策。</w:t>
      </w:r>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信息披露的真实性</w:t>
      </w:r>
      <w:r>
        <w:rPr>
          <w:color w:val="000000" w:themeColor="text1"/>
          <w:kern w:val="2"/>
          <w:szCs w:val="24"/>
        </w:rPr>
        <w:t>。委托人向受托人提供的所有财务报表、文件、记录、报告、协议以及其他书面资料均属真实和正确，且不存在任何重大错误或遗漏。</w:t>
      </w:r>
      <w:bookmarkStart w:id="232" w:name="_Hlk60160282"/>
      <w:r>
        <w:rPr>
          <w:rFonts w:hint="eastAsia"/>
          <w:color w:val="000000"/>
          <w:kern w:val="2"/>
          <w:szCs w:val="24"/>
        </w:rPr>
        <w:t>委托人授权</w:t>
      </w:r>
      <w:r>
        <w:rPr>
          <w:rFonts w:hint="eastAsia"/>
        </w:rPr>
        <w:t>受托人依法收集，合理使用、加工、传输委托人和</w:t>
      </w:r>
      <w:r>
        <w:rPr>
          <w:rFonts w:hint="eastAsia"/>
        </w:rPr>
        <w:t>/</w:t>
      </w:r>
      <w:r>
        <w:rPr>
          <w:rFonts w:hint="eastAsia"/>
        </w:rPr>
        <w:t>或受益</w:t>
      </w:r>
      <w:r>
        <w:rPr>
          <w:rFonts w:hint="eastAsia"/>
        </w:rPr>
        <w:t>人的相关个人信息。</w:t>
      </w:r>
      <w:bookmarkEnd w:id="232"/>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t>委托人设立信托目的正当、合规</w:t>
      </w:r>
      <w:r>
        <w:rPr>
          <w:rFonts w:hint="eastAsia"/>
          <w:color w:val="000000" w:themeColor="text1"/>
          <w:kern w:val="2"/>
          <w:szCs w:val="24"/>
        </w:rPr>
        <w:t>。委托人投资本信托计划符合相关法律法规、监管政策及投资范围，不以规避投资范围、杠杆约束等实现监管套利为目的。</w:t>
      </w:r>
    </w:p>
    <w:p w:rsidR="00066166" w:rsidRDefault="00F62BD0">
      <w:pPr>
        <w:pStyle w:val="NormalJustified"/>
        <w:widowControl w:val="0"/>
        <w:numPr>
          <w:ilvl w:val="0"/>
          <w:numId w:val="24"/>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t>委托人自愿承担投资风险。</w:t>
      </w:r>
      <w:r>
        <w:rPr>
          <w:rFonts w:hint="eastAsia"/>
          <w:color w:val="000000" w:themeColor="text1"/>
          <w:kern w:val="2"/>
          <w:szCs w:val="24"/>
        </w:rPr>
        <w:t>委托人通过充分评估风险，自愿认购信托计划，认可信托资金的投资运用、投资标的、投资范围、投资比例、开放日安排、锁定期安排、巨额赎回安排、受益人信托利益计算及分配、信托受托管理费、代理推介费等各项费用、预警设置、估值安排、信息披露、信托计划的终止及延期等各项情况，对信托计划的运作方式及其合法合规性及可能存在的风险等情况充分知悉并认可，明确知晓并自愿承担信托计划项下所产生的以及信托文件所揭示的风险。信托计划期限届满或出现其他终止情</w:t>
      </w:r>
      <w:r>
        <w:rPr>
          <w:rFonts w:hint="eastAsia"/>
          <w:color w:val="000000" w:themeColor="text1"/>
          <w:kern w:val="2"/>
          <w:szCs w:val="24"/>
        </w:rPr>
        <w:lastRenderedPageBreak/>
        <w:t>形时，若信托财产未能全部变现，则信托计划的期限自动延长至信托财产全部变现为止；延期期</w:t>
      </w:r>
      <w:r>
        <w:rPr>
          <w:rFonts w:hint="eastAsia"/>
          <w:color w:val="000000" w:themeColor="text1"/>
          <w:kern w:val="2"/>
          <w:szCs w:val="24"/>
        </w:rPr>
        <w:t>间受托人继续按照信托受托管理费的计算方式计算和收取信托受托管理费。委托人已充分了解信托资金运用相关情况，并充分认可信托合同约定的信托财产管理运用处分方式、运用期限、中后期管理等内容，委托人一致同意受托人按照信托合同的约定管理、运用、处分信托财产。受托人不承诺保证本金兑付和最低收益，受托人依据信托文件管理信托财产所产生的风险由委托人</w:t>
      </w:r>
      <w:r>
        <w:rPr>
          <w:color w:val="000000" w:themeColor="text1"/>
          <w:kern w:val="2"/>
          <w:szCs w:val="24"/>
        </w:rPr>
        <w:t>/</w:t>
      </w:r>
      <w:r>
        <w:rPr>
          <w:rFonts w:hint="eastAsia"/>
          <w:color w:val="000000" w:themeColor="text1"/>
          <w:kern w:val="2"/>
          <w:szCs w:val="24"/>
        </w:rPr>
        <w:t>受益人自行承担。</w:t>
      </w:r>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rFonts w:hint="eastAsia"/>
          <w:color w:val="000000" w:themeColor="text1"/>
          <w:szCs w:val="24"/>
        </w:rPr>
        <w:t>受托人系在委托人前述陈述和保证的基础上与委托人订立本合同。受托人不对前述陈述与保证的真实性承担任何责任或负担任何义务。若任何上述承诺与保证不真实或虚假导致信托合</w:t>
      </w:r>
      <w:r>
        <w:rPr>
          <w:rFonts w:hint="eastAsia"/>
          <w:color w:val="000000" w:themeColor="text1"/>
          <w:szCs w:val="24"/>
        </w:rPr>
        <w:t>同项下义务不能履行或不能完全履行、信托合同终止或被撤销、或被追究任何经济或行政的责任及遭致的相应损失均由委托人自行承担。</w:t>
      </w:r>
    </w:p>
    <w:p w:rsidR="00066166" w:rsidRDefault="00066166">
      <w:pPr>
        <w:pStyle w:val="NormalJustified"/>
        <w:widowControl w:val="0"/>
        <w:spacing w:beforeLines="100" w:before="312" w:afterLines="100" w:after="312" w:line="300" w:lineRule="auto"/>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33" w:name="_Toc164487837"/>
      <w:bookmarkStart w:id="234" w:name="_Toc91143614"/>
      <w:bookmarkStart w:id="235" w:name="_Toc13016390"/>
      <w:r>
        <w:rPr>
          <w:color w:val="000000" w:themeColor="text1"/>
          <w:sz w:val="24"/>
          <w:szCs w:val="24"/>
        </w:rPr>
        <w:t>受托人的陈述和保证</w:t>
      </w:r>
      <w:bookmarkEnd w:id="233"/>
      <w:bookmarkEnd w:id="234"/>
      <w:bookmarkEnd w:id="235"/>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受托人向委托人做出以下的陈述和保证，下述各项陈述和保证均属真实和正确：</w:t>
      </w:r>
    </w:p>
    <w:p w:rsidR="00066166" w:rsidRDefault="00F62BD0">
      <w:pPr>
        <w:pStyle w:val="NormalJustified"/>
        <w:widowControl w:val="0"/>
        <w:numPr>
          <w:ilvl w:val="0"/>
          <w:numId w:val="25"/>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公司存续</w:t>
      </w:r>
      <w:r>
        <w:rPr>
          <w:color w:val="000000" w:themeColor="text1"/>
          <w:kern w:val="2"/>
          <w:szCs w:val="24"/>
        </w:rPr>
        <w:t>。受托人是一家按照中国法律正式注册并有效存续的信托公司，具有签订本合同和依据本合同交付信托财产所需的所有权利、授权和批准，并且具有充分履行其在本合同项下每项义务所需的所有权利、授权和批准。</w:t>
      </w:r>
    </w:p>
    <w:p w:rsidR="00066166" w:rsidRDefault="00F62BD0">
      <w:pPr>
        <w:pStyle w:val="NormalJustified"/>
        <w:widowControl w:val="0"/>
        <w:numPr>
          <w:ilvl w:val="0"/>
          <w:numId w:val="25"/>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业务经营资格</w:t>
      </w:r>
      <w:r>
        <w:rPr>
          <w:color w:val="000000" w:themeColor="text1"/>
          <w:kern w:val="2"/>
          <w:szCs w:val="24"/>
        </w:rPr>
        <w:t>。受托人依法取得了集合资金信托业务的资格，且就受托人所知，并不存在任何事件导致或可能导致受托人丧失该项资格。</w:t>
      </w:r>
    </w:p>
    <w:p w:rsidR="00066166" w:rsidRDefault="00F62BD0">
      <w:pPr>
        <w:pStyle w:val="NormalJustified"/>
        <w:widowControl w:val="0"/>
        <w:numPr>
          <w:ilvl w:val="0"/>
          <w:numId w:val="25"/>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合法授权</w:t>
      </w:r>
      <w:r>
        <w:rPr>
          <w:color w:val="000000" w:themeColor="text1"/>
          <w:kern w:val="2"/>
          <w:szCs w:val="24"/>
        </w:rPr>
        <w:t>。无论是本合同的签署还是对本合同项下义务的履行，均不会抵触、违反或违背其章程、内部规章制度以及营业许可范围或任何法律法规或任何政府机构或机关的批准，或其为签约方的任何合同或协议的任何约定。</w:t>
      </w:r>
    </w:p>
    <w:p w:rsidR="00066166" w:rsidRDefault="00F62BD0">
      <w:pPr>
        <w:pStyle w:val="NormalJustified"/>
        <w:widowControl w:val="0"/>
        <w:numPr>
          <w:ilvl w:val="0"/>
          <w:numId w:val="25"/>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信息披露的真实性</w:t>
      </w:r>
      <w:r>
        <w:rPr>
          <w:color w:val="000000" w:themeColor="text1"/>
          <w:kern w:val="2"/>
          <w:szCs w:val="24"/>
        </w:rPr>
        <w:t>。受托人向委托人提供的《信托计划说明书》以及其他所有与本合同相关的资料和信息均属</w:t>
      </w:r>
      <w:r>
        <w:rPr>
          <w:rFonts w:hint="eastAsia"/>
          <w:color w:val="000000" w:themeColor="text1"/>
          <w:kern w:val="2"/>
          <w:szCs w:val="24"/>
        </w:rPr>
        <w:t>完整、准确、</w:t>
      </w:r>
      <w:r>
        <w:rPr>
          <w:color w:val="000000" w:themeColor="text1"/>
          <w:kern w:val="2"/>
          <w:szCs w:val="24"/>
        </w:rPr>
        <w:t>真实和正确，且不存在任何重大错误</w:t>
      </w:r>
      <w:r>
        <w:rPr>
          <w:rFonts w:hint="eastAsia"/>
          <w:color w:val="000000" w:themeColor="text1"/>
          <w:kern w:val="2"/>
          <w:szCs w:val="24"/>
        </w:rPr>
        <w:t>、误导性陈述</w:t>
      </w:r>
      <w:r>
        <w:rPr>
          <w:color w:val="000000" w:themeColor="text1"/>
          <w:kern w:val="2"/>
          <w:szCs w:val="24"/>
        </w:rPr>
        <w:t>或遗漏。</w:t>
      </w:r>
    </w:p>
    <w:p w:rsidR="00066166" w:rsidRDefault="00F62BD0">
      <w:pPr>
        <w:pStyle w:val="NormalJustified"/>
        <w:widowControl w:val="0"/>
        <w:numPr>
          <w:ilvl w:val="0"/>
          <w:numId w:val="25"/>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lastRenderedPageBreak/>
        <w:t>履行社会责任</w:t>
      </w:r>
      <w:r>
        <w:rPr>
          <w:color w:val="000000" w:themeColor="text1"/>
          <w:kern w:val="2"/>
          <w:szCs w:val="24"/>
        </w:rPr>
        <w:t>。</w:t>
      </w:r>
      <w:r>
        <w:rPr>
          <w:rFonts w:hint="eastAsia"/>
          <w:color w:val="000000" w:themeColor="text1"/>
          <w:kern w:val="2"/>
          <w:szCs w:val="24"/>
        </w:rPr>
        <w:t>受托人承诺积极承担社会责任，恪尽职守，履行诚实、信用、谨慎、有效管理的义务，维护受益人、受托人股东及社会利益。</w:t>
      </w:r>
    </w:p>
    <w:p w:rsidR="00066166" w:rsidRDefault="00066166">
      <w:pPr>
        <w:pStyle w:val="NormalJustified"/>
        <w:widowControl w:val="0"/>
        <w:tabs>
          <w:tab w:val="left" w:pos="360"/>
          <w:tab w:val="left" w:pos="540"/>
        </w:tabs>
        <w:spacing w:beforeLines="100" w:before="312" w:afterLines="100" w:after="312" w:line="300" w:lineRule="auto"/>
        <w:ind w:left="54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36" w:name="_Toc13016391"/>
      <w:bookmarkStart w:id="237" w:name="_Toc164487838"/>
      <w:bookmarkStart w:id="238" w:name="_Toc91143615"/>
      <w:r>
        <w:rPr>
          <w:color w:val="000000" w:themeColor="text1"/>
          <w:sz w:val="24"/>
          <w:szCs w:val="24"/>
        </w:rPr>
        <w:t>委托人的权利和义务</w:t>
      </w:r>
      <w:bookmarkEnd w:id="236"/>
      <w:bookmarkEnd w:id="237"/>
      <w:bookmarkEnd w:id="238"/>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除本合同其他条款约定的权利和义务之外，信托计划的委托人还应享有以下权利，并承担以下义务：</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39" w:name="_Toc164487839"/>
      <w:r>
        <w:rPr>
          <w:rFonts w:ascii="Times New Roman" w:eastAsia="宋体" w:hAnsi="Times New Roman"/>
          <w:color w:val="000000" w:themeColor="text1"/>
          <w:sz w:val="24"/>
          <w:szCs w:val="24"/>
        </w:rPr>
        <w:t>委托人的权利</w:t>
      </w:r>
      <w:bookmarkEnd w:id="239"/>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有权向受托人了解其信托资金的管理、运用、处分及收支情况，并有权要求受托人做出说明</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有权查阅、抄录或者复制与信托财产有关的信托账目以及处理信托事务的其他文件</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法律规定和信托文件约定的其他权利</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委托人对应的信托受益权转让后，不再享有上述权利</w:t>
      </w:r>
      <w:r>
        <w:rPr>
          <w:color w:val="000000" w:themeColor="text1"/>
          <w:kern w:val="2"/>
          <w:szCs w:val="24"/>
        </w:rPr>
        <w:t>。</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0" w:name="_Toc164487840"/>
      <w:r>
        <w:rPr>
          <w:rFonts w:ascii="Times New Roman" w:eastAsia="宋体" w:hAnsi="Times New Roman"/>
          <w:color w:val="000000" w:themeColor="text1"/>
          <w:sz w:val="24"/>
          <w:szCs w:val="24"/>
        </w:rPr>
        <w:t>委托人的义务</w:t>
      </w:r>
      <w:bookmarkEnd w:id="24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kern w:val="2"/>
          <w:szCs w:val="24"/>
        </w:rPr>
        <w:t>遵守其所作</w:t>
      </w:r>
      <w:r>
        <w:rPr>
          <w:rFonts w:hint="eastAsia"/>
          <w:color w:val="000000" w:themeColor="text1"/>
        </w:rPr>
        <w:t>出的陈述和保证。</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保证本合同项下信托资金来源合法且为该资金的合法所有人，未使用贷款、发行债券等筹集的非自有资金投资信托计划，未接受他人委托资金或者非法汇集他人资金参与信托计划。</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按本合同要求将信托资金及时足额付至本合同指定的募集账户或信托财产专户。</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签署受托人要求的文件并提供受托人要求的资料和信息。</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按本合同约定承担信托计划费用并按照相关法规的规定承担相应的税费。</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保证已就设立本信托事项向其债权人履行了告知义务，并保证设立本信托未损害其债权人的利益。</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lastRenderedPageBreak/>
        <w:t>保证其享有签署包括本合同在内的信托计划文件的权利，并就签署行为已履行必要的批准和授权手续。</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在本信托计划存续期间，未经受托人书面同意，委托人不得变更、撤销或解除本信托。</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不得要求受托人通过任何非法方式或管理手段管理信托财产并获取利益。</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不得通过信托方式达到非法目的。</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向受托人提供法律规定</w:t>
      </w:r>
      <w:r>
        <w:rPr>
          <w:color w:val="000000" w:themeColor="text1"/>
          <w:kern w:val="2"/>
          <w:szCs w:val="24"/>
        </w:rPr>
        <w:t>和信托文件约定的必要信息，并保证所披露信息的真实、准确和完整。</w:t>
      </w:r>
      <w:r>
        <w:rPr>
          <w:rFonts w:hint="eastAsia"/>
          <w:kern w:val="2"/>
          <w:szCs w:val="24"/>
        </w:rPr>
        <w:t>委托人应提供、填写真实、准确、完整、有效的资料、信息及联系方式，若预留的资料、信息或联系方式发生变更的，委托人应及时通知受托人。在受托人根据法律法规规定或中国人民</w:t>
      </w:r>
      <w:r>
        <w:rPr>
          <w:rFonts w:hint="eastAsia"/>
          <w:kern w:val="2"/>
          <w:szCs w:val="24"/>
        </w:rPr>
        <w:t>银行、中国证券登记结算有限责任公司、中国信托登记有限责任公司等监管机关及保管银行等其他有权机构要求的情形下要求委托人补充信息资料的，委托人应予以配合提供。</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如果依据中国法律应当就委托人交付或转让给受托人的财产办理信托登记或其他手续，则委托人应采取一切必要措施以确保该等手续在受托人要求的合理期限内办理完毕。</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履行</w:t>
      </w:r>
      <w:r>
        <w:rPr>
          <w:color w:val="000000" w:themeColor="text1"/>
        </w:rPr>
        <w:t>法律规定和信托文件约定</w:t>
      </w:r>
      <w:r>
        <w:rPr>
          <w:color w:val="000000" w:themeColor="text1"/>
          <w:kern w:val="2"/>
          <w:szCs w:val="24"/>
        </w:rPr>
        <w:t>的其他义务。</w:t>
      </w:r>
    </w:p>
    <w:p w:rsidR="00066166" w:rsidRDefault="00066166">
      <w:pPr>
        <w:pStyle w:val="NormalJustified"/>
        <w:widowControl w:val="0"/>
        <w:tabs>
          <w:tab w:val="left" w:pos="2552"/>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41" w:name="_Toc164487841"/>
      <w:bookmarkStart w:id="242" w:name="_Toc13016392"/>
      <w:bookmarkStart w:id="243" w:name="_Toc91143616"/>
      <w:r>
        <w:rPr>
          <w:color w:val="000000" w:themeColor="text1"/>
          <w:sz w:val="24"/>
          <w:szCs w:val="24"/>
        </w:rPr>
        <w:t>受益人的权利和义务</w:t>
      </w:r>
      <w:bookmarkEnd w:id="241"/>
      <w:bookmarkEnd w:id="242"/>
      <w:bookmarkEnd w:id="243"/>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除本合同其他条款约定的权利和义务之外，信托计划的受益人还应享有以下权利，并承担以下义务：</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4" w:name="_Toc164487842"/>
      <w:r>
        <w:rPr>
          <w:rFonts w:ascii="Times New Roman" w:eastAsia="宋体" w:hAnsi="Times New Roman"/>
          <w:color w:val="000000" w:themeColor="text1"/>
          <w:sz w:val="24"/>
          <w:szCs w:val="24"/>
        </w:rPr>
        <w:t>受益人的权利</w:t>
      </w:r>
      <w:bookmarkEnd w:id="244"/>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根据所持有的信托单位享有信托计划项下相应的信托受益权。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有权向受托人了解其信托资金的管理、运用、处分及收支情况，并有权要求受托人做出说明。</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lastRenderedPageBreak/>
        <w:t>有权查阅、抄录或者复制与信托财产有关的信托账目以及处理信托事务的其他文件。</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参加受益人大会，按其持有信托单位行使表决权。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查阅受益人大会决议及相关情况。</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在符合法律规定和信托合同约定的前提下，有权转让其所持有的</w:t>
      </w:r>
      <w:r>
        <w:rPr>
          <w:rFonts w:hint="eastAsia"/>
          <w:color w:val="000000" w:themeColor="text1"/>
          <w:kern w:val="2"/>
          <w:szCs w:val="24"/>
        </w:rPr>
        <w:t>信托</w:t>
      </w:r>
      <w:r>
        <w:rPr>
          <w:color w:val="000000" w:themeColor="text1"/>
          <w:kern w:val="2"/>
          <w:szCs w:val="24"/>
        </w:rPr>
        <w:t>受益权。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w:t>
      </w:r>
      <w:r>
        <w:rPr>
          <w:color w:val="000000" w:themeColor="text1"/>
          <w:kern w:val="2"/>
          <w:szCs w:val="24"/>
        </w:rPr>
        <w:t>的其他权利。</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5" w:name="_Toc164487843"/>
      <w:r>
        <w:rPr>
          <w:rFonts w:ascii="Times New Roman" w:eastAsia="宋体" w:hAnsi="Times New Roman"/>
          <w:color w:val="000000" w:themeColor="text1"/>
          <w:sz w:val="24"/>
          <w:szCs w:val="24"/>
        </w:rPr>
        <w:t>受益人的义务</w:t>
      </w:r>
      <w:bookmarkEnd w:id="245"/>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依据法律规定和信托文件的约定行使</w:t>
      </w:r>
      <w:r>
        <w:rPr>
          <w:rFonts w:hint="eastAsia"/>
          <w:color w:val="000000" w:themeColor="text1"/>
          <w:kern w:val="2"/>
          <w:szCs w:val="24"/>
        </w:rPr>
        <w:t>信托</w:t>
      </w:r>
      <w:r>
        <w:rPr>
          <w:color w:val="000000" w:themeColor="text1"/>
          <w:kern w:val="2"/>
          <w:szCs w:val="24"/>
        </w:rPr>
        <w:t>受益权。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对所获知的信托计划信息负有保密义务</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变更信托利益分配账户应及时通知受托人。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通过受让方式获得</w:t>
      </w:r>
      <w:r>
        <w:rPr>
          <w:rFonts w:hint="eastAsia"/>
          <w:color w:val="000000" w:themeColor="text1"/>
          <w:kern w:val="2"/>
          <w:szCs w:val="24"/>
        </w:rPr>
        <w:t>信托</w:t>
      </w:r>
      <w:r>
        <w:rPr>
          <w:color w:val="000000" w:themeColor="text1"/>
          <w:kern w:val="2"/>
          <w:szCs w:val="24"/>
        </w:rPr>
        <w:t>受益权的受益人，负有与其前手相同的委托人义务。</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kern w:val="2"/>
          <w:szCs w:val="24"/>
        </w:rPr>
        <w:t>受益人应当按照法律的</w:t>
      </w:r>
      <w:r>
        <w:rPr>
          <w:rFonts w:hint="eastAsia"/>
          <w:color w:val="000000" w:themeColor="text1"/>
        </w:rPr>
        <w:t>规定和本合同的约定承担相关费用和税费。</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受益人应及时关注受托人的各项通知、公告信息。</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在本合同允许转让信托受益权的前提下，如果受益人转让信托受益权，应当按照本合同的约定办理相关的转让手续。</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受益人有义务在信托利益分配前将本人</w:t>
      </w:r>
      <w:r>
        <w:rPr>
          <w:rFonts w:hint="eastAsia"/>
          <w:color w:val="000000" w:themeColor="text1"/>
        </w:rPr>
        <w:t>/</w:t>
      </w:r>
      <w:r>
        <w:rPr>
          <w:rFonts w:hint="eastAsia"/>
          <w:color w:val="000000" w:themeColor="text1"/>
        </w:rPr>
        <w:t>本机构有效、完整的联系方式和信托利益分配账户资料以书面方式告知受托人，并确保受益人信息准确无误。若变更信托利益分配账户应及时通知受托人。</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签署受托人要求的文件并提供受托人要求的资料和信息。在受托人根据法律法规规定或中国人民银行、中国证券登记结算有限责任公司、中国信托登记有限责任公司等监管机关及保管银行等其他有权机构要求的情形下要求受益人补充信息资料的，受益人应予以配合提供。</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履行</w:t>
      </w:r>
      <w:r>
        <w:rPr>
          <w:color w:val="000000" w:themeColor="text1"/>
        </w:rPr>
        <w:t>法律规定和信托文件约定</w:t>
      </w:r>
      <w:r>
        <w:rPr>
          <w:rFonts w:hint="eastAsia"/>
          <w:color w:val="000000" w:themeColor="text1"/>
        </w:rPr>
        <w:t>的其他义务。</w:t>
      </w:r>
    </w:p>
    <w:p w:rsidR="00066166" w:rsidRDefault="00066166">
      <w:pPr>
        <w:pStyle w:val="NormalJustified"/>
        <w:widowControl w:val="0"/>
        <w:tabs>
          <w:tab w:val="left" w:pos="2552"/>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46" w:name="_Toc13016393"/>
      <w:bookmarkStart w:id="247" w:name="_Toc164487844"/>
      <w:bookmarkStart w:id="248" w:name="_Toc91143617"/>
      <w:r>
        <w:rPr>
          <w:color w:val="000000" w:themeColor="text1"/>
          <w:sz w:val="24"/>
          <w:szCs w:val="24"/>
        </w:rPr>
        <w:t>受托人的权利和义务</w:t>
      </w:r>
      <w:bookmarkEnd w:id="246"/>
      <w:bookmarkEnd w:id="247"/>
      <w:bookmarkEnd w:id="248"/>
    </w:p>
    <w:p w:rsidR="00066166" w:rsidRDefault="00F62BD0">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除本合同其他条款约定的权利和义务之外，受托人还应享有以下权利，承担以下义务：</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9" w:name="_Toc164487845"/>
      <w:r>
        <w:rPr>
          <w:rFonts w:ascii="Times New Roman" w:eastAsia="宋体" w:hAnsi="Times New Roman"/>
          <w:color w:val="000000" w:themeColor="text1"/>
          <w:sz w:val="24"/>
          <w:szCs w:val="24"/>
        </w:rPr>
        <w:t>受托人的权利</w:t>
      </w:r>
      <w:bookmarkEnd w:id="249"/>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有权根据信托合同约定的运作方式，基于专业、审慎、尽责的原则，自主管理、运用和处分信托财产，并</w:t>
      </w:r>
      <w:r>
        <w:rPr>
          <w:color w:val="000000" w:themeColor="text1"/>
          <w:kern w:val="2"/>
          <w:szCs w:val="24"/>
        </w:rPr>
        <w:t>按照信托合同的约定分配信托财产收益。</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按照信托合同的约定获</w:t>
      </w:r>
      <w:r>
        <w:rPr>
          <w:rFonts w:hint="eastAsia"/>
          <w:color w:val="000000" w:themeColor="text1"/>
          <w:kern w:val="2"/>
          <w:szCs w:val="24"/>
        </w:rPr>
        <w:t>得信托受托管理费</w:t>
      </w:r>
      <w:r>
        <w:rPr>
          <w:color w:val="000000" w:themeColor="text1"/>
          <w:kern w:val="2"/>
          <w:szCs w:val="24"/>
        </w:rPr>
        <w:t>/</w:t>
      </w:r>
      <w:r>
        <w:rPr>
          <w:rFonts w:hint="eastAsia"/>
          <w:color w:val="000000" w:themeColor="text1"/>
          <w:kern w:val="2"/>
          <w:szCs w:val="24"/>
        </w:rPr>
        <w:t>信托报酬。</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受托人因管理、运用或处分信托计划所支出的费用和对第三人所负债务，以信托财产承担。受托人以其固有财产先行支付的，对信托财产享有顺序优先受偿的权利</w:t>
      </w:r>
      <w:r>
        <w:rPr>
          <w:rFonts w:hint="eastAsia"/>
          <w:color w:val="000000" w:themeColor="text1"/>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受托人有权调整估值日。</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受托人有权调整委托人首次认购（申购）金额下限。</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受托人有权根据本合同约定扩大投资范围，调整投资比例、投资限制等。</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受托人有权根据信托财产管理的需要，在不违背信托计划目的的前提下对信托计划财产的管理运用方式和信托计划文件内容进行适当调整。</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在不增加信托计划费用总和的前提下，受托人有权调整信托计划相关费用的费率的提取比例。</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lang w:eastAsia="zh-Hans"/>
        </w:rPr>
        <w:t>受托人</w:t>
      </w:r>
      <w:r>
        <w:rPr>
          <w:rFonts w:hint="eastAsia"/>
          <w:color w:val="000000" w:themeColor="text1"/>
        </w:rPr>
        <w:t>有权在法律法规规定或中国人民银行、中国证券登记结算有限责任公司、中国信托登记有限责任公司等监管机关及保管银行等其他有权机构要求的情形下报送、披露委托人</w:t>
      </w:r>
      <w:r>
        <w:rPr>
          <w:rFonts w:hint="eastAsia"/>
          <w:color w:val="000000" w:themeColor="text1"/>
        </w:rPr>
        <w:t>/</w:t>
      </w:r>
      <w:r>
        <w:rPr>
          <w:rFonts w:hint="eastAsia"/>
          <w:color w:val="000000" w:themeColor="text1"/>
        </w:rPr>
        <w:t>受益人的信息资料。</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受托人有权按照相关法律法规和监管要求（包括但不限于投资者身份识别、反洗钱等监管要求）</w:t>
      </w:r>
      <w:r>
        <w:t>或为履行本合同之目的而向相关监管部门、自律监管机构、登记机构及相关业务合作机构披露委托人</w:t>
      </w:r>
      <w:r>
        <w:t>/</w:t>
      </w:r>
      <w:r>
        <w:t>受益人身份信息、持有信托产品信息等必要信息，该等披露不视为受托人违反本合同项下保密义</w:t>
      </w:r>
      <w:r>
        <w:lastRenderedPageBreak/>
        <w:t>务。</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rPr>
        <w:t>若信托计划存续期间流动性资金不足以支付应付受托管理费、保管费等费用的，受托人有权处置相应资产。</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w:t>
      </w:r>
      <w:r>
        <w:rPr>
          <w:color w:val="000000" w:themeColor="text1"/>
          <w:kern w:val="2"/>
          <w:szCs w:val="24"/>
        </w:rPr>
        <w:t>的其他权利。</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0" w:name="_Toc164487846"/>
      <w:r>
        <w:rPr>
          <w:rFonts w:ascii="Times New Roman" w:eastAsia="宋体" w:hAnsi="Times New Roman"/>
          <w:color w:val="000000" w:themeColor="text1"/>
          <w:sz w:val="24"/>
          <w:szCs w:val="24"/>
        </w:rPr>
        <w:t>受托人的义务</w:t>
      </w:r>
      <w:bookmarkEnd w:id="25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受托人从事信托活动，应当遵守法律规定和信托合同的约定，不得损害国家利益、社会公众利益和他人的合法权益</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为实现受益人的最大利益，在信托计划管理中恪尽职守，根据信托合同的约定管理信托财产。</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建立健全内部风险控制，将信托财产与其固有财产分开管理，并将不同信托计划的资产分别记账。</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按照信托合同及信托文件的约定</w:t>
      </w:r>
      <w:r>
        <w:rPr>
          <w:color w:val="000000" w:themeColor="text1"/>
          <w:kern w:val="2"/>
          <w:szCs w:val="24"/>
        </w:rPr>
        <w:t>及时披露信托计划信息，接受有关当事人查询。</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定期编制信托计划管理报告。</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按照法律规定和信托合同的约定，妥善保存与信托计划有关的合同、协议、推广文件、交易记录、会计账册等文件、资料，保存期不少于自信托计划结束之日起</w:t>
      </w:r>
      <w:r>
        <w:rPr>
          <w:rFonts w:hint="eastAsia"/>
          <w:color w:val="000000" w:themeColor="text1"/>
          <w:kern w:val="2"/>
          <w:szCs w:val="24"/>
        </w:rPr>
        <w:t>1</w:t>
      </w:r>
      <w:r>
        <w:rPr>
          <w:color w:val="000000" w:themeColor="text1"/>
          <w:kern w:val="2"/>
          <w:szCs w:val="24"/>
        </w:rPr>
        <w:t>5</w:t>
      </w:r>
      <w:r>
        <w:rPr>
          <w:color w:val="000000" w:themeColor="text1"/>
          <w:kern w:val="2"/>
          <w:szCs w:val="24"/>
        </w:rPr>
        <w:t>年。</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受托人应当为委托人、受益人以及处理信托事务的情况和资料保密，但法律或者信托文件另有约定的除外</w:t>
      </w:r>
      <w:r>
        <w:rPr>
          <w:color w:val="000000" w:themeColor="text1"/>
          <w:kern w:val="2"/>
          <w:szCs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asciiTheme="minorHAnsi" w:hAnsiTheme="minorHAnsi" w:cstheme="minorBidi" w:hint="eastAsia"/>
          <w:color w:val="000000" w:themeColor="text1"/>
          <w:szCs w:val="22"/>
        </w:rPr>
        <w:t>信托公司应当亲自处理信托事务，自主决策，并亲自履行下达交易指令的义务，不得将投资管理职责委托他人行使。如聘请第三方提供投资顾问服务，应当符合</w:t>
      </w:r>
      <w:r>
        <w:rPr>
          <w:rFonts w:hint="eastAsia"/>
          <w:color w:val="000000" w:themeColor="text1"/>
        </w:rPr>
        <w:t>《信托公司证券投资信托业务操作指引》等监管规定。</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受托人应根据《中国人民银行金融消费者权益保护实施办法》等相关法律法规规定建立并完善消费者权益保护工作体制机制，妥善处理消费者权益保护纠纷，落实消费者权益保护事宜。</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lastRenderedPageBreak/>
        <w:t>法律规定和信托文件约定的其他义务。</w:t>
      </w:r>
    </w:p>
    <w:p w:rsidR="00066166" w:rsidRDefault="00066166">
      <w:pPr>
        <w:pStyle w:val="NormalJustified"/>
        <w:widowControl w:val="0"/>
        <w:tabs>
          <w:tab w:val="left" w:pos="720"/>
          <w:tab w:val="left" w:pos="851"/>
          <w:tab w:val="left" w:pos="1275"/>
          <w:tab w:val="left" w:pos="2552"/>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51" w:name="_Toc13016394"/>
      <w:bookmarkStart w:id="252" w:name="_Toc164487847"/>
      <w:bookmarkStart w:id="253" w:name="_Toc91143618"/>
      <w:r>
        <w:rPr>
          <w:color w:val="000000" w:themeColor="text1"/>
          <w:sz w:val="24"/>
          <w:szCs w:val="24"/>
        </w:rPr>
        <w:t>信息披露</w:t>
      </w:r>
      <w:bookmarkEnd w:id="251"/>
      <w:bookmarkEnd w:id="252"/>
      <w:bookmarkEnd w:id="253"/>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4" w:name="_Ref41431877"/>
      <w:r>
        <w:rPr>
          <w:rFonts w:ascii="Times New Roman" w:eastAsia="宋体" w:hAnsi="Times New Roman"/>
          <w:color w:val="000000" w:themeColor="text1"/>
          <w:sz w:val="24"/>
          <w:szCs w:val="24"/>
        </w:rPr>
        <w:t>披露方式</w:t>
      </w:r>
      <w:bookmarkEnd w:id="254"/>
    </w:p>
    <w:p w:rsidR="00066166" w:rsidRDefault="00F62BD0">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信托计划存续期间，受托人应按照法律规定和信托合同的约定，向受益人进行信息披露。除信托文件另有约定外，受托人对本信托计划的信息以在其网站（</w:t>
      </w:r>
      <w:r>
        <w:rPr>
          <w:b/>
          <w:bCs/>
          <w:color w:val="000000" w:themeColor="text1"/>
          <w:kern w:val="2"/>
          <w:szCs w:val="24"/>
        </w:rPr>
        <w:t>http://www.mintrust.com</w:t>
      </w:r>
      <w:r>
        <w:rPr>
          <w:rFonts w:hint="eastAsia"/>
          <w:b/>
          <w:bCs/>
          <w:color w:val="000000" w:themeColor="text1"/>
          <w:kern w:val="2"/>
          <w:szCs w:val="24"/>
        </w:rPr>
        <w:t>）上公布或按照本合同第</w:t>
      </w:r>
      <w:r>
        <w:rPr>
          <w:b/>
          <w:bCs/>
        </w:rPr>
        <w:fldChar w:fldCharType="begin"/>
      </w:r>
      <w:r>
        <w:rPr>
          <w:b/>
          <w:bCs/>
        </w:rPr>
        <w:instrText xml:space="preserve"> REF _Ref175907257 \r \h  \* MERGEFORMAT </w:instrText>
      </w:r>
      <w:r>
        <w:rPr>
          <w:b/>
          <w:bCs/>
        </w:rPr>
      </w:r>
      <w:r>
        <w:rPr>
          <w:b/>
          <w:bCs/>
        </w:rPr>
        <w:fldChar w:fldCharType="separate"/>
      </w:r>
      <w:r>
        <w:rPr>
          <w:b/>
          <w:bCs/>
          <w:color w:val="000000" w:themeColor="text1"/>
          <w:kern w:val="2"/>
          <w:szCs w:val="24"/>
        </w:rPr>
        <w:t>25.1</w:t>
      </w:r>
      <w:r>
        <w:rPr>
          <w:b/>
          <w:bCs/>
        </w:rPr>
        <w:fldChar w:fldCharType="end"/>
      </w:r>
      <w:r>
        <w:rPr>
          <w:rFonts w:hint="eastAsia"/>
          <w:b/>
          <w:bCs/>
          <w:color w:val="000000" w:themeColor="text1"/>
          <w:kern w:val="2"/>
          <w:szCs w:val="24"/>
        </w:rPr>
        <w:t>条约定向受益人发出通知的方式向受益人披露（该等披露视为对受益人的通知），同时有关信息</w:t>
      </w:r>
      <w:r>
        <w:rPr>
          <w:rFonts w:hint="eastAsia"/>
          <w:b/>
          <w:bCs/>
          <w:color w:val="000000" w:themeColor="text1"/>
          <w:kern w:val="2"/>
          <w:szCs w:val="24"/>
        </w:rPr>
        <w:t>将在受托人的办公场所存放备查，或受益人来函索取时由受托人寄送。</w:t>
      </w:r>
    </w:p>
    <w:p w:rsidR="00066166" w:rsidRDefault="00F62BD0">
      <w:pPr>
        <w:pStyle w:val="NormalJustified"/>
        <w:widowControl w:val="0"/>
        <w:spacing w:beforeLines="100" w:before="312" w:afterLines="100" w:after="312" w:line="300" w:lineRule="auto"/>
        <w:ind w:left="720"/>
        <w:rPr>
          <w:b/>
          <w:bCs/>
          <w:color w:val="000000" w:themeColor="text1"/>
          <w:kern w:val="2"/>
          <w:szCs w:val="24"/>
        </w:rPr>
      </w:pPr>
      <w:r>
        <w:rPr>
          <w:rFonts w:hint="eastAsia"/>
          <w:color w:val="000000" w:themeColor="text1"/>
          <w:kern w:val="2"/>
          <w:szCs w:val="24"/>
        </w:rPr>
        <w:t>受益人知悉并认可，本信托计划的信息也可以通过代销机构获取</w:t>
      </w:r>
      <w:r>
        <w:rPr>
          <w:color w:val="000000" w:themeColor="text1"/>
          <w:kern w:val="2"/>
          <w:szCs w:val="24"/>
        </w:rPr>
        <w:t>（该等披露视为</w:t>
      </w:r>
      <w:r>
        <w:rPr>
          <w:rFonts w:hint="eastAsia"/>
          <w:color w:val="000000" w:themeColor="text1"/>
          <w:kern w:val="2"/>
          <w:szCs w:val="24"/>
        </w:rPr>
        <w:t>受托人</w:t>
      </w:r>
      <w:r>
        <w:rPr>
          <w:color w:val="000000" w:themeColor="text1"/>
          <w:kern w:val="2"/>
          <w:szCs w:val="24"/>
        </w:rPr>
        <w:t>对受益人的通知）</w:t>
      </w:r>
      <w:r>
        <w:rPr>
          <w:rFonts w:hint="eastAsia"/>
          <w:color w:val="000000" w:themeColor="text1"/>
          <w:kern w:val="2"/>
          <w:szCs w:val="24"/>
        </w:rPr>
        <w:t>。</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5" w:name="_Toc164487848"/>
      <w:r>
        <w:rPr>
          <w:rFonts w:ascii="Times New Roman" w:eastAsia="宋体" w:hAnsi="Times New Roman"/>
          <w:color w:val="000000" w:themeColor="text1"/>
          <w:sz w:val="24"/>
          <w:szCs w:val="24"/>
        </w:rPr>
        <w:t>定期信息披露</w:t>
      </w:r>
      <w:bookmarkEnd w:id="255"/>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受托人应对受益人进行如下定期信息披露：</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ascii="仿宋_GB2312" w:hint="eastAsia"/>
          <w:color w:val="000000" w:themeColor="text1"/>
        </w:rPr>
        <w:t>自信托计划成立日起，</w:t>
      </w:r>
      <w:r>
        <w:rPr>
          <w:rFonts w:hAnsi="宋体" w:hint="eastAsia"/>
          <w:color w:val="000000" w:themeColor="text1"/>
        </w:rPr>
        <w:t>受托人</w:t>
      </w:r>
      <w:r>
        <w:rPr>
          <w:rFonts w:ascii="仿宋_GB2312" w:hint="eastAsia"/>
          <w:color w:val="000000" w:themeColor="text1"/>
        </w:rPr>
        <w:t>每周</w:t>
      </w:r>
      <w:bookmarkStart w:id="256" w:name="_Hlk48677563"/>
      <w:r>
        <w:rPr>
          <w:rFonts w:ascii="仿宋_GB2312" w:hint="eastAsia"/>
          <w:color w:val="000000" w:themeColor="text1"/>
        </w:rPr>
        <w:t>前三个交易日内</w:t>
      </w:r>
      <w:bookmarkEnd w:id="256"/>
      <w:r>
        <w:rPr>
          <w:rFonts w:ascii="仿宋_GB2312" w:hint="eastAsia"/>
          <w:color w:val="000000" w:themeColor="text1"/>
        </w:rPr>
        <w:t>通过受托人网站公布上周最后一个交易日信托单位净值情况</w:t>
      </w:r>
      <w:r>
        <w:rPr>
          <w:rFonts w:ascii="仿宋_GB2312"/>
          <w:color w:val="000000" w:themeColor="text1"/>
        </w:rPr>
        <w:t>，</w:t>
      </w:r>
      <w:r>
        <w:rPr>
          <w:rFonts w:ascii="仿宋_GB2312" w:hint="eastAsia"/>
          <w:color w:val="000000" w:themeColor="text1"/>
        </w:rPr>
        <w:t>每</w:t>
      </w:r>
      <w:r>
        <w:rPr>
          <w:rFonts w:ascii="仿宋_GB2312" w:hint="eastAsia"/>
          <w:color w:val="000000" w:themeColor="text1"/>
          <w:lang w:eastAsia="zh-Hans"/>
        </w:rPr>
        <w:t>月</w:t>
      </w:r>
      <w:r>
        <w:rPr>
          <w:rFonts w:ascii="仿宋_GB2312" w:hint="eastAsia"/>
          <w:color w:val="000000" w:themeColor="text1"/>
        </w:rPr>
        <w:t>前三个交易日内通过受托人网站公布上</w:t>
      </w:r>
      <w:r>
        <w:rPr>
          <w:rFonts w:ascii="仿宋_GB2312" w:hint="eastAsia"/>
          <w:color w:val="000000" w:themeColor="text1"/>
          <w:lang w:eastAsia="zh-Hans"/>
        </w:rPr>
        <w:t>月</w:t>
      </w:r>
      <w:r>
        <w:rPr>
          <w:rFonts w:ascii="仿宋_GB2312" w:hint="eastAsia"/>
          <w:color w:val="000000" w:themeColor="text1"/>
        </w:rPr>
        <w:t>最后一个交易日信托单位净值情况</w:t>
      </w:r>
      <w:r>
        <w:rPr>
          <w:rFonts w:ascii="仿宋_GB2312"/>
          <w:color w:val="000000" w:themeColor="text1"/>
        </w:rPr>
        <w:t>，</w:t>
      </w:r>
      <w:r>
        <w:rPr>
          <w:rFonts w:ascii="仿宋_GB2312" w:hint="eastAsia"/>
          <w:color w:val="000000" w:themeColor="text1"/>
        </w:rPr>
        <w:t>并应委托人、受益人要求通过邮件方式披露上一个估值日信托单位净值。</w:t>
      </w:r>
      <w:bookmarkStart w:id="257" w:name="_Hlk48677570"/>
      <w:r>
        <w:rPr>
          <w:rFonts w:hAnsi="宋体" w:hint="eastAsia"/>
          <w:color w:val="000000" w:themeColor="text1"/>
        </w:rPr>
        <w:t>如因系统故障等客观原因或标的资管产品管理人或其授权的第三方发送净值的时间延迟导致受托人无法及时披露信托财产净值和信托单位净值的，受托人应于该等故障或原因排除后及时披露估值结果。</w:t>
      </w:r>
      <w:bookmarkEnd w:id="257"/>
      <w:r>
        <w:rPr>
          <w:rFonts w:ascii="仿宋_GB2312" w:hint="eastAsia"/>
          <w:b/>
          <w:bCs/>
          <w:color w:val="000000" w:themeColor="text1"/>
        </w:rPr>
        <w:t>特别的，全体委托人同意受托人通过网站公布净值的方式视同寄送信托单位净值书面材料的净值披露方式。</w:t>
      </w:r>
    </w:p>
    <w:p w:rsidR="00066166" w:rsidRDefault="00F62BD0">
      <w:pPr>
        <w:pStyle w:val="NormalJustified"/>
        <w:widowControl w:val="0"/>
        <w:numPr>
          <w:ilvl w:val="0"/>
          <w:numId w:val="26"/>
        </w:numPr>
        <w:spacing w:beforeLines="100" w:before="312" w:afterLines="100" w:after="312" w:line="300" w:lineRule="auto"/>
        <w:rPr>
          <w:color w:val="000000" w:themeColor="text1"/>
          <w:kern w:val="2"/>
          <w:szCs w:val="24"/>
        </w:rPr>
      </w:pPr>
      <w:r>
        <w:rPr>
          <w:color w:val="000000" w:themeColor="text1"/>
          <w:kern w:val="2"/>
          <w:szCs w:val="24"/>
        </w:rPr>
        <w:t>受托人</w:t>
      </w:r>
      <w:bookmarkStart w:id="258" w:name="_Hlk48677578"/>
      <w:r>
        <w:rPr>
          <w:rFonts w:hint="eastAsia"/>
          <w:color w:val="000000" w:themeColor="text1"/>
          <w:kern w:val="2"/>
          <w:szCs w:val="24"/>
        </w:rPr>
        <w:t>自信托计划成立日起每自然季度最后一日制作信托财产管理报告和信托资金运用及收益情况表，并于每自然季度最后一日后的</w:t>
      </w:r>
      <w:r>
        <w:rPr>
          <w:color w:val="000000" w:themeColor="text1"/>
          <w:kern w:val="2"/>
          <w:szCs w:val="24"/>
        </w:rPr>
        <w:t>10</w:t>
      </w:r>
      <w:r>
        <w:rPr>
          <w:rFonts w:hint="eastAsia"/>
          <w:color w:val="000000" w:themeColor="text1"/>
          <w:kern w:val="2"/>
          <w:szCs w:val="24"/>
        </w:rPr>
        <w:t>个工作日内向受益人进行披露</w:t>
      </w:r>
      <w:bookmarkEnd w:id="258"/>
      <w:r>
        <w:rPr>
          <w:rFonts w:hint="eastAsia"/>
          <w:color w:val="000000" w:themeColor="text1"/>
          <w:kern w:val="2"/>
          <w:szCs w:val="24"/>
        </w:rPr>
        <w:t>。</w:t>
      </w:r>
    </w:p>
    <w:p w:rsidR="00066166" w:rsidRDefault="00F62BD0">
      <w:pPr>
        <w:pStyle w:val="NormalJustified"/>
        <w:widowControl w:val="0"/>
        <w:numPr>
          <w:ilvl w:val="0"/>
          <w:numId w:val="26"/>
        </w:numPr>
        <w:spacing w:beforeLines="100" w:before="312" w:afterLines="100" w:after="312" w:line="300" w:lineRule="auto"/>
        <w:rPr>
          <w:color w:val="000000" w:themeColor="text1"/>
          <w:kern w:val="2"/>
          <w:szCs w:val="24"/>
        </w:rPr>
      </w:pPr>
      <w:r>
        <w:rPr>
          <w:color w:val="000000" w:themeColor="text1"/>
          <w:kern w:val="2"/>
          <w:szCs w:val="24"/>
        </w:rPr>
        <w:t>在信托计划终止后的</w:t>
      </w:r>
      <w:r>
        <w:rPr>
          <w:rFonts w:hint="eastAsia"/>
          <w:color w:val="000000" w:themeColor="text1"/>
          <w:kern w:val="2"/>
          <w:szCs w:val="24"/>
        </w:rPr>
        <w:t>10</w:t>
      </w:r>
      <w:r>
        <w:rPr>
          <w:color w:val="000000" w:themeColor="text1"/>
          <w:kern w:val="2"/>
          <w:szCs w:val="24"/>
        </w:rPr>
        <w:t>个工作日内，向受益人提交清算报告。</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9" w:name="_Toc164487849"/>
      <w:r>
        <w:rPr>
          <w:rFonts w:ascii="Times New Roman" w:eastAsia="宋体" w:hAnsi="Times New Roman"/>
          <w:color w:val="000000" w:themeColor="text1"/>
          <w:sz w:val="24"/>
          <w:szCs w:val="24"/>
        </w:rPr>
        <w:lastRenderedPageBreak/>
        <w:t>临时信息披露</w:t>
      </w:r>
      <w:bookmarkEnd w:id="259"/>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260" w:name="_Hlk519852846"/>
      <w:r>
        <w:rPr>
          <w:color w:val="000000" w:themeColor="text1"/>
          <w:kern w:val="2"/>
          <w:szCs w:val="24"/>
        </w:rPr>
        <w:t>信托计划存续期内，如果发生下列可能对受益人权益产生重大影响的临时事项，受托人应在知道该临时事项发生之日起</w:t>
      </w:r>
      <w:r>
        <w:rPr>
          <w:color w:val="000000" w:themeColor="text1"/>
          <w:kern w:val="2"/>
          <w:szCs w:val="24"/>
        </w:rPr>
        <w:t>3</w:t>
      </w:r>
      <w:r>
        <w:rPr>
          <w:color w:val="000000" w:themeColor="text1"/>
          <w:kern w:val="2"/>
          <w:szCs w:val="24"/>
        </w:rPr>
        <w:t>个工作日内向受益人作临时披露，并自披露之日起</w:t>
      </w:r>
      <w:r>
        <w:rPr>
          <w:color w:val="000000" w:themeColor="text1"/>
          <w:kern w:val="2"/>
          <w:szCs w:val="24"/>
        </w:rPr>
        <w:t>7</w:t>
      </w:r>
      <w:r>
        <w:rPr>
          <w:color w:val="000000" w:themeColor="text1"/>
          <w:kern w:val="2"/>
          <w:szCs w:val="24"/>
        </w:rPr>
        <w:t>个工作日内向受益人书面提出受托人采取的应对措施：</w:t>
      </w:r>
    </w:p>
    <w:p w:rsidR="00066166" w:rsidRDefault="00F62BD0">
      <w:pPr>
        <w:pStyle w:val="NormalJustified"/>
        <w:widowControl w:val="0"/>
        <w:numPr>
          <w:ilvl w:val="0"/>
          <w:numId w:val="27"/>
        </w:numPr>
        <w:spacing w:beforeLines="100" w:before="312" w:afterLines="100" w:after="312" w:line="300" w:lineRule="auto"/>
        <w:rPr>
          <w:color w:val="000000" w:themeColor="text1"/>
          <w:kern w:val="2"/>
          <w:szCs w:val="24"/>
        </w:rPr>
      </w:pPr>
      <w:r>
        <w:rPr>
          <w:color w:val="000000" w:themeColor="text1"/>
          <w:kern w:val="2"/>
          <w:szCs w:val="24"/>
        </w:rPr>
        <w:t>发生受托人解任事件或受托人辞任；</w:t>
      </w:r>
    </w:p>
    <w:p w:rsidR="00066166" w:rsidRDefault="00F62BD0">
      <w:pPr>
        <w:pStyle w:val="NormalJustified"/>
        <w:widowControl w:val="0"/>
        <w:numPr>
          <w:ilvl w:val="0"/>
          <w:numId w:val="27"/>
        </w:numPr>
        <w:spacing w:beforeLines="100" w:before="312" w:afterLines="100" w:after="312" w:line="300" w:lineRule="auto"/>
        <w:rPr>
          <w:color w:val="000000" w:themeColor="text1"/>
          <w:kern w:val="2"/>
          <w:szCs w:val="24"/>
        </w:rPr>
      </w:pPr>
      <w:r>
        <w:rPr>
          <w:color w:val="000000" w:themeColor="text1"/>
          <w:kern w:val="2"/>
          <w:szCs w:val="24"/>
        </w:rPr>
        <w:t>发生保管人解任事件或保管人辞任；</w:t>
      </w:r>
    </w:p>
    <w:p w:rsidR="00066166" w:rsidRDefault="00F62BD0">
      <w:pPr>
        <w:pStyle w:val="NormalJustified"/>
        <w:widowControl w:val="0"/>
        <w:numPr>
          <w:ilvl w:val="0"/>
          <w:numId w:val="27"/>
        </w:numPr>
        <w:spacing w:beforeLines="100" w:before="312" w:afterLines="100" w:after="312" w:line="300" w:lineRule="auto"/>
        <w:rPr>
          <w:color w:val="000000" w:themeColor="text1"/>
          <w:kern w:val="2"/>
          <w:szCs w:val="24"/>
        </w:rPr>
      </w:pPr>
      <w:r>
        <w:rPr>
          <w:color w:val="000000" w:themeColor="text1"/>
          <w:kern w:val="2"/>
          <w:szCs w:val="24"/>
        </w:rPr>
        <w:t>信托财产发生或者可能遭受重大损失；</w:t>
      </w:r>
    </w:p>
    <w:p w:rsidR="00066166" w:rsidRDefault="00F62BD0">
      <w:pPr>
        <w:pStyle w:val="NormalJustified"/>
        <w:widowControl w:val="0"/>
        <w:numPr>
          <w:ilvl w:val="0"/>
          <w:numId w:val="27"/>
        </w:numPr>
        <w:spacing w:beforeLines="100" w:before="312" w:afterLines="100" w:after="312" w:line="300" w:lineRule="auto"/>
        <w:rPr>
          <w:color w:val="000000" w:themeColor="text1"/>
          <w:kern w:val="2"/>
          <w:szCs w:val="24"/>
        </w:rPr>
      </w:pPr>
      <w:r>
        <w:rPr>
          <w:rFonts w:ascii="仿宋_GB2312" w:hint="eastAsia"/>
          <w:color w:val="000000" w:themeColor="text1"/>
          <w:szCs w:val="24"/>
        </w:rPr>
        <w:t>发生信托目的不能实现、因法律法规修改等严重影响</w:t>
      </w:r>
      <w:r>
        <w:rPr>
          <w:rFonts w:ascii="仿宋_GB2312" w:hint="eastAsia"/>
          <w:color w:val="000000" w:themeColor="text1"/>
        </w:rPr>
        <w:t>信托</w:t>
      </w:r>
      <w:r>
        <w:rPr>
          <w:rFonts w:ascii="仿宋_GB2312" w:hint="eastAsia"/>
          <w:color w:val="000000" w:themeColor="text1"/>
          <w:szCs w:val="24"/>
        </w:rPr>
        <w:t>事务运行</w:t>
      </w:r>
      <w:r>
        <w:rPr>
          <w:rFonts w:ascii="仿宋_GB2312" w:hint="eastAsia"/>
          <w:color w:val="000000" w:themeColor="text1"/>
        </w:rPr>
        <w:t>的其他</w:t>
      </w:r>
      <w:r>
        <w:rPr>
          <w:rFonts w:ascii="仿宋_GB2312" w:hint="eastAsia"/>
          <w:color w:val="000000" w:themeColor="text1"/>
          <w:szCs w:val="24"/>
        </w:rPr>
        <w:t>事项</w:t>
      </w:r>
      <w:r>
        <w:rPr>
          <w:rFonts w:hint="eastAsia"/>
          <w:color w:val="000000" w:themeColor="text1"/>
          <w:kern w:val="2"/>
          <w:szCs w:val="24"/>
        </w:rPr>
        <w:t>；</w:t>
      </w:r>
    </w:p>
    <w:p w:rsidR="00066166" w:rsidRDefault="00F62BD0">
      <w:pPr>
        <w:pStyle w:val="NormalJustified"/>
        <w:widowControl w:val="0"/>
        <w:numPr>
          <w:ilvl w:val="0"/>
          <w:numId w:val="27"/>
        </w:numPr>
        <w:spacing w:beforeLines="100" w:before="312" w:afterLines="100" w:after="312" w:line="300" w:lineRule="auto"/>
        <w:rPr>
          <w:color w:val="000000" w:themeColor="text1"/>
          <w:kern w:val="2"/>
          <w:szCs w:val="24"/>
        </w:rPr>
      </w:pPr>
      <w:r>
        <w:rPr>
          <w:rFonts w:hint="eastAsia"/>
          <w:color w:val="000000" w:themeColor="text1"/>
          <w:kern w:val="2"/>
          <w:szCs w:val="24"/>
        </w:rPr>
        <w:t>其他受托人认为有必要向受益人披露的重大事项。</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本信托计划存续期间出现下列情形之一的，受托人将于获知情况后的</w:t>
      </w:r>
      <w:r>
        <w:rPr>
          <w:rFonts w:hint="eastAsia"/>
          <w:color w:val="000000" w:themeColor="text1"/>
          <w:kern w:val="2"/>
          <w:szCs w:val="24"/>
        </w:rPr>
        <w:t>2</w:t>
      </w:r>
      <w:r>
        <w:rPr>
          <w:rFonts w:hint="eastAsia"/>
          <w:color w:val="000000" w:themeColor="text1"/>
          <w:kern w:val="2"/>
          <w:szCs w:val="24"/>
        </w:rPr>
        <w:t>个工作日内编制临时报告向委托人、受益人披露：</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召开受益人大会；</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提前终止信托合同；</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更换保管人；</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涉及受托人管理职责、信托财产的诉讼；</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关联交易事项；</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信托财产净值计价错误达百分之零点五（含）以上；</w:t>
      </w:r>
    </w:p>
    <w:p w:rsidR="00066166" w:rsidRDefault="00F62BD0">
      <w:pPr>
        <w:pStyle w:val="NormalJustified"/>
        <w:widowControl w:val="0"/>
        <w:numPr>
          <w:ilvl w:val="0"/>
          <w:numId w:val="28"/>
        </w:numPr>
        <w:spacing w:beforeLines="100" w:before="312" w:afterLines="100" w:after="312" w:line="300" w:lineRule="auto"/>
        <w:rPr>
          <w:color w:val="000000" w:themeColor="text1"/>
          <w:kern w:val="2"/>
          <w:szCs w:val="24"/>
        </w:rPr>
      </w:pPr>
      <w:r>
        <w:rPr>
          <w:rFonts w:hint="eastAsia"/>
          <w:color w:val="000000" w:themeColor="text1"/>
          <w:kern w:val="2"/>
          <w:szCs w:val="24"/>
        </w:rPr>
        <w:t>中国银保监会规定的其他事项。</w:t>
      </w:r>
      <w:bookmarkEnd w:id="26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受托人按本合同约定对信托计划进行变更时（包括但不限于通过召开受益人大会方式、根据本合同</w:t>
      </w:r>
      <w:r>
        <w:rPr>
          <w:rFonts w:hint="eastAsia"/>
          <w:color w:val="000000" w:themeColor="text1"/>
          <w:kern w:val="2"/>
          <w:szCs w:val="24"/>
        </w:rPr>
        <w:t>19.</w:t>
      </w:r>
      <w:r>
        <w:rPr>
          <w:color w:val="000000" w:themeColor="text1"/>
          <w:kern w:val="2"/>
          <w:szCs w:val="24"/>
        </w:rPr>
        <w:t>10</w:t>
      </w:r>
      <w:r>
        <w:rPr>
          <w:rFonts w:hint="eastAsia"/>
          <w:color w:val="000000" w:themeColor="text1"/>
          <w:kern w:val="2"/>
          <w:szCs w:val="24"/>
        </w:rPr>
        <w:t>条约定进行变更等方式），变更事项自实施之日起自动适用于信托计划全体委托人</w:t>
      </w:r>
      <w:r>
        <w:rPr>
          <w:rFonts w:hint="eastAsia"/>
          <w:color w:val="000000" w:themeColor="text1"/>
          <w:kern w:val="2"/>
          <w:szCs w:val="24"/>
        </w:rPr>
        <w:t>/</w:t>
      </w:r>
      <w:r>
        <w:rPr>
          <w:rFonts w:hint="eastAsia"/>
          <w:color w:val="000000" w:themeColor="text1"/>
          <w:kern w:val="2"/>
          <w:szCs w:val="24"/>
        </w:rPr>
        <w:t>受益人（包括变更实施后通过受让信托受益权成为信托计</w:t>
      </w:r>
      <w:r>
        <w:rPr>
          <w:rFonts w:hint="eastAsia"/>
          <w:color w:val="000000" w:themeColor="text1"/>
          <w:kern w:val="2"/>
          <w:szCs w:val="24"/>
        </w:rPr>
        <w:t>划受益人等各种情形）</w:t>
      </w:r>
      <w:r>
        <w:rPr>
          <w:color w:val="000000" w:themeColor="text1"/>
          <w:kern w:val="2"/>
          <w:szCs w:val="24"/>
        </w:rPr>
        <w:t>，</w:t>
      </w:r>
      <w:r>
        <w:rPr>
          <w:rFonts w:hint="eastAsia"/>
          <w:color w:val="000000" w:themeColor="text1"/>
          <w:kern w:val="2"/>
          <w:szCs w:val="24"/>
        </w:rPr>
        <w:t>受益人应通过受托人</w:t>
      </w:r>
      <w:r>
        <w:rPr>
          <w:rFonts w:hint="eastAsia"/>
          <w:color w:val="000000" w:themeColor="text1"/>
          <w:kern w:val="2"/>
          <w:szCs w:val="24"/>
        </w:rPr>
        <w:lastRenderedPageBreak/>
        <w:t>网站等方式自行查阅信托计划存续期间的变更事项，受托人无需另行向新加入信托计划的受益人披露。</w:t>
      </w:r>
    </w:p>
    <w:p w:rsidR="00066166" w:rsidRDefault="00066166">
      <w:pPr>
        <w:pStyle w:val="NormalJustified"/>
        <w:widowControl w:val="0"/>
        <w:spacing w:beforeLines="100" w:before="312" w:afterLines="100" w:after="312" w:line="300" w:lineRule="auto"/>
        <w:ind w:left="1140"/>
        <w:rPr>
          <w:color w:val="000000" w:themeColor="text1"/>
          <w:kern w:val="2"/>
          <w:szCs w:val="24"/>
        </w:rPr>
      </w:pPr>
    </w:p>
    <w:p w:rsidR="00066166" w:rsidRDefault="00F62BD0">
      <w:pPr>
        <w:pStyle w:val="1"/>
        <w:keepNext w:val="0"/>
        <w:tabs>
          <w:tab w:val="clear" w:pos="2552"/>
        </w:tabs>
        <w:spacing w:beforeLines="100" w:before="312" w:afterLines="100" w:after="312" w:line="300" w:lineRule="auto"/>
        <w:ind w:left="0" w:firstLine="0"/>
        <w:jc w:val="center"/>
        <w:rPr>
          <w:color w:val="000000" w:themeColor="text1"/>
          <w:sz w:val="24"/>
          <w:szCs w:val="24"/>
        </w:rPr>
      </w:pPr>
      <w:bookmarkStart w:id="261" w:name="_Toc13016395"/>
      <w:bookmarkStart w:id="262" w:name="_Toc91143619"/>
      <w:bookmarkStart w:id="263" w:name="_Toc164487850"/>
      <w:r>
        <w:rPr>
          <w:color w:val="000000" w:themeColor="text1"/>
          <w:sz w:val="24"/>
          <w:szCs w:val="24"/>
        </w:rPr>
        <w:t>受益人大会</w:t>
      </w:r>
      <w:bookmarkEnd w:id="261"/>
      <w:bookmarkEnd w:id="262"/>
      <w:bookmarkEnd w:id="263"/>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4" w:name="_Toc164487851"/>
      <w:r>
        <w:rPr>
          <w:rFonts w:ascii="Times New Roman" w:eastAsia="宋体" w:hAnsi="Times New Roman"/>
          <w:color w:val="000000" w:themeColor="text1"/>
          <w:sz w:val="24"/>
          <w:szCs w:val="24"/>
        </w:rPr>
        <w:t>组成</w:t>
      </w:r>
      <w:bookmarkEnd w:id="264"/>
    </w:p>
    <w:p w:rsidR="00066166" w:rsidRDefault="00F62BD0">
      <w:pPr>
        <w:pStyle w:val="NormalJustified"/>
        <w:widowControl w:val="0"/>
        <w:spacing w:beforeLines="100" w:before="312" w:afterLines="100" w:after="312" w:line="300" w:lineRule="auto"/>
        <w:ind w:left="720"/>
        <w:rPr>
          <w:color w:val="000000" w:themeColor="text1"/>
          <w:szCs w:val="24"/>
        </w:rPr>
      </w:pPr>
      <w:r>
        <w:rPr>
          <w:color w:val="000000" w:themeColor="text1"/>
          <w:szCs w:val="24"/>
        </w:rPr>
        <w:t>受益人大会由全体</w:t>
      </w:r>
      <w:r>
        <w:rPr>
          <w:color w:val="000000" w:themeColor="text1"/>
          <w:kern w:val="2"/>
          <w:szCs w:val="24"/>
        </w:rPr>
        <w:t>受益人</w:t>
      </w:r>
      <w:r>
        <w:rPr>
          <w:color w:val="000000" w:themeColor="text1"/>
          <w:szCs w:val="24"/>
        </w:rPr>
        <w:t>组成。</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5" w:name="_Toc164487852"/>
      <w:r>
        <w:rPr>
          <w:rFonts w:ascii="Times New Roman" w:eastAsia="宋体" w:hAnsi="Times New Roman"/>
          <w:color w:val="000000" w:themeColor="text1"/>
          <w:sz w:val="24"/>
          <w:szCs w:val="24"/>
        </w:rPr>
        <w:t>职权</w:t>
      </w:r>
      <w:bookmarkEnd w:id="265"/>
    </w:p>
    <w:p w:rsidR="00066166" w:rsidRDefault="00F62BD0">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除非信托文件另有约定，受益人大会有权决定如下事项，受益人大会不得对除此之外的其他事项进行表决：</w:t>
      </w:r>
    </w:p>
    <w:p w:rsidR="00066166" w:rsidRDefault="00F62BD0">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决议提前终止信托计划</w:t>
      </w:r>
      <w:r>
        <w:rPr>
          <w:rFonts w:hint="eastAsia"/>
          <w:color w:val="000000" w:themeColor="text1"/>
          <w:kern w:val="2"/>
          <w:szCs w:val="24"/>
        </w:rPr>
        <w:t>或延长信托计划期限</w:t>
      </w:r>
      <w:r>
        <w:rPr>
          <w:color w:val="000000" w:themeColor="text1"/>
          <w:kern w:val="2"/>
          <w:szCs w:val="24"/>
        </w:rPr>
        <w:t>；</w:t>
      </w:r>
    </w:p>
    <w:p w:rsidR="00066166" w:rsidRDefault="00F62BD0">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受托人辞任或解任的情况下，决定提前终止信托计划或更换受托人；</w:t>
      </w:r>
    </w:p>
    <w:p w:rsidR="00066166" w:rsidRDefault="00F62BD0">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在受托人提议时，决定改变信托财产的运用方式；</w:t>
      </w:r>
    </w:p>
    <w:p w:rsidR="00066166" w:rsidRDefault="00F62BD0">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提高受托人的</w:t>
      </w:r>
      <w:r>
        <w:rPr>
          <w:rFonts w:hint="eastAsia"/>
          <w:color w:val="000000" w:themeColor="text1"/>
          <w:kern w:val="2"/>
          <w:szCs w:val="24"/>
        </w:rPr>
        <w:t>报酬</w:t>
      </w:r>
      <w:r>
        <w:rPr>
          <w:color w:val="000000" w:themeColor="text1"/>
          <w:kern w:val="2"/>
          <w:szCs w:val="24"/>
        </w:rPr>
        <w:t>标准；</w:t>
      </w:r>
    </w:p>
    <w:p w:rsidR="00066166" w:rsidRDefault="00F62BD0">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信托文件约定的其他事项。</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6" w:name="_Ref175907238"/>
      <w:bookmarkStart w:id="267" w:name="_Toc164487853"/>
      <w:r>
        <w:rPr>
          <w:rFonts w:ascii="Times New Roman" w:eastAsia="宋体" w:hAnsi="Times New Roman"/>
          <w:color w:val="000000" w:themeColor="text1"/>
          <w:sz w:val="24"/>
          <w:szCs w:val="24"/>
        </w:rPr>
        <w:t>召集的事由</w:t>
      </w:r>
      <w:bookmarkEnd w:id="266"/>
      <w:bookmarkEnd w:id="267"/>
    </w:p>
    <w:p w:rsidR="00066166" w:rsidRDefault="00F62BD0">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在信托计划存续期间，除非信托文件另有约定，出现以下情形之一的，应当召开受益人大会：</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t>受托人解任事件；</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t>受托人提出辞任；</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t>受托人提议提前终止信托计划或延长信托计划期限；</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t>受托人提议改变信托财产的运用方式；</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lastRenderedPageBreak/>
        <w:t>召集人提出提高受托人报酬标准的议案；</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信托资金投资比例拟发生变化（高风险类型的产品超出比例范围投资较低风险资产的情形除外）；</w:t>
      </w:r>
    </w:p>
    <w:p w:rsidR="00066166" w:rsidRDefault="00F62BD0">
      <w:pPr>
        <w:pStyle w:val="NormalJustified"/>
        <w:widowControl w:val="0"/>
        <w:numPr>
          <w:ilvl w:val="0"/>
          <w:numId w:val="30"/>
        </w:numPr>
        <w:spacing w:beforeLines="100" w:before="312" w:afterLines="100" w:after="312" w:line="300" w:lineRule="auto"/>
        <w:rPr>
          <w:color w:val="000000" w:themeColor="text1"/>
          <w:kern w:val="2"/>
          <w:szCs w:val="24"/>
        </w:rPr>
      </w:pPr>
      <w:r>
        <w:rPr>
          <w:color w:val="000000" w:themeColor="text1"/>
          <w:kern w:val="2"/>
          <w:szCs w:val="24"/>
        </w:rPr>
        <w:t>信托文件约定或受托人认为应当召开受益人大会的其他事项。</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8" w:name="_Toc164487854"/>
      <w:r>
        <w:rPr>
          <w:rFonts w:ascii="Times New Roman" w:eastAsia="宋体" w:hAnsi="Times New Roman"/>
          <w:color w:val="000000" w:themeColor="text1"/>
          <w:sz w:val="24"/>
          <w:szCs w:val="24"/>
        </w:rPr>
        <w:t>召集的方式</w:t>
      </w:r>
      <w:bookmarkEnd w:id="268"/>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受托人召集</w:t>
      </w:r>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受益人大会由受托人负责召集，受托人应在本合同第</w:t>
      </w:r>
      <w:r>
        <w:fldChar w:fldCharType="begin"/>
      </w:r>
      <w:r>
        <w:instrText xml:space="preserve"> REF _Ref175907238 \r \h  \* MERGEFORMAT </w:instrText>
      </w:r>
      <w:r>
        <w:fldChar w:fldCharType="separate"/>
      </w:r>
      <w:r>
        <w:rPr>
          <w:color w:val="000000" w:themeColor="text1"/>
          <w:kern w:val="2"/>
          <w:szCs w:val="24"/>
        </w:rPr>
        <w:t>19.3</w:t>
      </w:r>
      <w:r>
        <w:fldChar w:fldCharType="end"/>
      </w:r>
      <w:r>
        <w:rPr>
          <w:color w:val="000000" w:themeColor="text1"/>
          <w:kern w:val="2"/>
          <w:szCs w:val="24"/>
        </w:rPr>
        <w:t>条所述的情形发生后的</w:t>
      </w:r>
      <w:r>
        <w:rPr>
          <w:color w:val="000000" w:themeColor="text1"/>
          <w:kern w:val="2"/>
          <w:szCs w:val="24"/>
        </w:rPr>
        <w:t>5</w:t>
      </w:r>
      <w:r>
        <w:rPr>
          <w:color w:val="000000" w:themeColor="text1"/>
          <w:kern w:val="2"/>
          <w:szCs w:val="24"/>
        </w:rPr>
        <w:t>个工作日内</w:t>
      </w:r>
      <w:r>
        <w:rPr>
          <w:rFonts w:hint="eastAsia"/>
          <w:color w:val="000000" w:themeColor="text1"/>
          <w:kern w:val="2"/>
          <w:szCs w:val="24"/>
        </w:rPr>
        <w:t>，</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向全体受益人发出会议通知。</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受益人召集</w:t>
      </w:r>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如受托人未按规定召集或不能召集时，单独或合计持有信托单位</w:t>
      </w:r>
      <w:r>
        <w:rPr>
          <w:color w:val="000000" w:themeColor="text1"/>
          <w:kern w:val="2"/>
          <w:szCs w:val="24"/>
        </w:rPr>
        <w:t>10%</w:t>
      </w:r>
      <w:r>
        <w:rPr>
          <w:color w:val="000000" w:themeColor="text1"/>
          <w:kern w:val="2"/>
          <w:szCs w:val="24"/>
        </w:rPr>
        <w:t>以上的受益人有权自行召集，</w:t>
      </w:r>
      <w:r>
        <w:rPr>
          <w:rFonts w:hint="eastAsia"/>
          <w:color w:val="000000" w:themeColor="text1"/>
          <w:kern w:val="2"/>
          <w:szCs w:val="24"/>
        </w:rPr>
        <w:t>并应</w:t>
      </w:r>
      <w:r>
        <w:rPr>
          <w:color w:val="000000" w:themeColor="text1"/>
          <w:kern w:val="2"/>
          <w:szCs w:val="24"/>
        </w:rPr>
        <w:t>按照本合同第</w:t>
      </w:r>
      <w:r>
        <w:fldChar w:fldCharType="begin"/>
      </w:r>
      <w:r>
        <w:instrText xml:space="preserve"> REF _Ref175907257 \r \h  \* MERGEFORMAT </w:instrText>
      </w:r>
      <w:r>
        <w:fldChar w:fldCharType="separate"/>
      </w:r>
      <w:r>
        <w:rPr>
          <w:color w:val="000000" w:themeColor="text1"/>
          <w:kern w:val="2"/>
          <w:szCs w:val="24"/>
        </w:rPr>
        <w:t>25.1</w:t>
      </w:r>
      <w:r>
        <w:fldChar w:fldCharType="end"/>
      </w:r>
      <w:r>
        <w:rPr>
          <w:color w:val="000000" w:themeColor="text1"/>
          <w:kern w:val="2"/>
          <w:szCs w:val="24"/>
        </w:rPr>
        <w:t>条约定向受益人发出通知的方式向全体受益人发出会议通知。</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9" w:name="_Toc164487855"/>
      <w:r>
        <w:rPr>
          <w:rFonts w:ascii="Times New Roman" w:eastAsia="宋体" w:hAnsi="Times New Roman"/>
          <w:color w:val="000000" w:themeColor="text1"/>
          <w:sz w:val="24"/>
          <w:szCs w:val="24"/>
        </w:rPr>
        <w:t>通知</w:t>
      </w:r>
      <w:bookmarkEnd w:id="269"/>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召开受益人大会，召集人应提前</w:t>
      </w:r>
      <w:r>
        <w:rPr>
          <w:color w:val="000000" w:themeColor="text1"/>
          <w:kern w:val="2"/>
          <w:szCs w:val="24"/>
        </w:rPr>
        <w:t>10</w:t>
      </w:r>
      <w:r>
        <w:rPr>
          <w:color w:val="000000" w:themeColor="text1"/>
          <w:kern w:val="2"/>
          <w:szCs w:val="24"/>
        </w:rPr>
        <w:t>个工作日按照本合同第</w:t>
      </w:r>
      <w:r>
        <w:fldChar w:fldCharType="begin"/>
      </w:r>
      <w:r>
        <w:instrText xml:space="preserve"> REF _Ref175907257 \r \h  \* MERGEFORMAT </w:instrText>
      </w:r>
      <w:r>
        <w:fldChar w:fldCharType="separate"/>
      </w:r>
      <w:r>
        <w:rPr>
          <w:color w:val="000000" w:themeColor="text1"/>
          <w:kern w:val="2"/>
          <w:szCs w:val="24"/>
        </w:rPr>
        <w:t>25.1</w:t>
      </w:r>
      <w:r>
        <w:fldChar w:fldCharType="end"/>
      </w:r>
      <w:r>
        <w:rPr>
          <w:color w:val="000000" w:themeColor="text1"/>
          <w:kern w:val="2"/>
          <w:szCs w:val="24"/>
        </w:rPr>
        <w:t>条约定向受益人发出通知的方式通知全体受益人（受托人为召集人的，有权</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通知全体受益人）。受益人大会通知至少应载明以下内容：</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会议召开的时</w:t>
      </w:r>
      <w:r>
        <w:rPr>
          <w:color w:val="000000" w:themeColor="text1"/>
          <w:kern w:val="2"/>
          <w:szCs w:val="24"/>
        </w:rPr>
        <w:t>间、地点、会议形式；</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会议拟审议的事项；</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会议议事程序和表决方式；</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有权出席受益人大会的权益登记日，该日距离受益人大会召开日不应超过</w:t>
      </w:r>
      <w:r>
        <w:rPr>
          <w:color w:val="000000" w:themeColor="text1"/>
          <w:kern w:val="2"/>
          <w:szCs w:val="24"/>
        </w:rPr>
        <w:t>5</w:t>
      </w:r>
      <w:r>
        <w:rPr>
          <w:color w:val="000000" w:themeColor="text1"/>
          <w:kern w:val="2"/>
          <w:szCs w:val="24"/>
        </w:rPr>
        <w:t>日</w:t>
      </w:r>
      <w:r>
        <w:rPr>
          <w:rFonts w:hint="eastAsia"/>
          <w:color w:val="000000" w:themeColor="text1"/>
          <w:kern w:val="2"/>
          <w:szCs w:val="24"/>
        </w:rPr>
        <w:t>个工作日</w:t>
      </w:r>
      <w:r>
        <w:rPr>
          <w:color w:val="000000" w:themeColor="text1"/>
          <w:kern w:val="2"/>
          <w:szCs w:val="24"/>
        </w:rPr>
        <w:t>，由召集人在发出通知时确定；</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代表投票授权委托书的内容要求（包括但不限于代理人身份、代理权限和代理有效期限等）、送达时间和地点；</w:t>
      </w:r>
    </w:p>
    <w:p w:rsidR="00066166" w:rsidRDefault="00F62BD0">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会议常设联系人姓名、电话。</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0" w:name="_Toc164487856"/>
      <w:r>
        <w:rPr>
          <w:rFonts w:ascii="Times New Roman" w:eastAsia="宋体" w:hAnsi="Times New Roman"/>
          <w:color w:val="000000" w:themeColor="text1"/>
          <w:sz w:val="24"/>
          <w:szCs w:val="24"/>
        </w:rPr>
        <w:t>会议的召开</w:t>
      </w:r>
      <w:bookmarkEnd w:id="270"/>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受益人大会可以采取现场方式召开，也可以采取通讯等方式召开。</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受益人大会应当有代表二分之一以上信托单位的持有人参加，方可召开。</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由受益人本人出席或以代理投票授权委托书委派代表出席，受托人和保管人的授权</w:t>
      </w:r>
      <w:r>
        <w:rPr>
          <w:rFonts w:hint="eastAsia"/>
          <w:color w:val="000000" w:themeColor="text1"/>
          <w:kern w:val="2"/>
          <w:szCs w:val="24"/>
        </w:rPr>
        <w:t>代理人</w:t>
      </w:r>
      <w:r>
        <w:rPr>
          <w:color w:val="000000" w:themeColor="text1"/>
          <w:kern w:val="2"/>
          <w:szCs w:val="24"/>
        </w:rPr>
        <w:t>应当列席受益人大会。</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受益人大会主持人由召集人选举产生。</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1" w:name="_Toc164487857"/>
      <w:r>
        <w:rPr>
          <w:rFonts w:ascii="Times New Roman" w:eastAsia="宋体" w:hAnsi="Times New Roman"/>
          <w:color w:val="000000" w:themeColor="text1"/>
          <w:sz w:val="24"/>
          <w:szCs w:val="24"/>
        </w:rPr>
        <w:t>会议的表决</w:t>
      </w:r>
      <w:bookmarkEnd w:id="271"/>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kern w:val="2"/>
          <w:szCs w:val="24"/>
        </w:rPr>
        <w:t>受益人所持的每份信托单位有一票表决权。</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kern w:val="2"/>
          <w:szCs w:val="24"/>
        </w:rPr>
        <w:t>受益人大会就审议事项作出决议，应当经参加大会的受益人所持表决权的三分之二以上通过；但就下列事项作出决议，应当经参加大会的全体受益人一致同意方可通过：</w:t>
      </w:r>
    </w:p>
    <w:p w:rsidR="00066166" w:rsidRDefault="00F62BD0">
      <w:pPr>
        <w:pStyle w:val="NormalJustified"/>
        <w:widowControl w:val="0"/>
        <w:numPr>
          <w:ilvl w:val="0"/>
          <w:numId w:val="32"/>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更换受托人；</w:t>
      </w:r>
    </w:p>
    <w:p w:rsidR="00066166" w:rsidRDefault="00F62BD0">
      <w:pPr>
        <w:pStyle w:val="NormalJustified"/>
        <w:widowControl w:val="0"/>
        <w:numPr>
          <w:ilvl w:val="0"/>
          <w:numId w:val="32"/>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改变信托财产的运用方式；</w:t>
      </w:r>
    </w:p>
    <w:p w:rsidR="00066166" w:rsidRDefault="00F62BD0">
      <w:pPr>
        <w:pStyle w:val="NormalJustified"/>
        <w:widowControl w:val="0"/>
        <w:numPr>
          <w:ilvl w:val="0"/>
          <w:numId w:val="32"/>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提前终止信托计划。</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受益人大会采取记名方式进行投票表决。</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受益人大会的各项提案或同一项提案内并列的各项议题应当分开审议、逐项表决。受益人大会不得就未经公告</w:t>
      </w:r>
      <w:r>
        <w:rPr>
          <w:rFonts w:hint="eastAsia"/>
          <w:color w:val="000000" w:themeColor="text1"/>
          <w:kern w:val="2"/>
          <w:szCs w:val="24"/>
        </w:rPr>
        <w:t>或通知</w:t>
      </w:r>
      <w:r>
        <w:rPr>
          <w:color w:val="000000" w:themeColor="text1"/>
          <w:kern w:val="2"/>
          <w:szCs w:val="24"/>
        </w:rPr>
        <w:t>的事项进行表决。</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2" w:name="_Toc164487858"/>
      <w:r>
        <w:rPr>
          <w:rFonts w:ascii="Times New Roman" w:eastAsia="宋体" w:hAnsi="Times New Roman"/>
          <w:color w:val="000000" w:themeColor="text1"/>
          <w:sz w:val="24"/>
          <w:szCs w:val="24"/>
        </w:rPr>
        <w:t>计票</w:t>
      </w:r>
      <w:bookmarkEnd w:id="272"/>
    </w:p>
    <w:p w:rsidR="00066166" w:rsidRDefault="00F62BD0">
      <w:pPr>
        <w:pStyle w:val="NormalJustified"/>
        <w:widowControl w:val="0"/>
        <w:spacing w:beforeLines="100" w:before="312" w:afterLines="100" w:after="312" w:line="300" w:lineRule="auto"/>
        <w:ind w:leftChars="257" w:left="540" w:firstLineChars="100" w:firstLine="240"/>
        <w:rPr>
          <w:color w:val="000000" w:themeColor="text1"/>
          <w:kern w:val="2"/>
          <w:szCs w:val="24"/>
        </w:rPr>
      </w:pPr>
      <w:r>
        <w:rPr>
          <w:color w:val="000000" w:themeColor="text1"/>
          <w:kern w:val="2"/>
          <w:szCs w:val="24"/>
        </w:rPr>
        <w:t>受益人大会的计票方式为：</w:t>
      </w:r>
    </w:p>
    <w:p w:rsidR="00066166" w:rsidRDefault="00F62BD0">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如大会由受托人召集，受益人大会的主持人应当在会议开始后宣布在出席会议的受益人中选举</w:t>
      </w:r>
      <w:r>
        <w:rPr>
          <w:color w:val="000000" w:themeColor="text1"/>
          <w:kern w:val="2"/>
          <w:szCs w:val="24"/>
        </w:rPr>
        <w:t>2</w:t>
      </w:r>
      <w:r>
        <w:rPr>
          <w:color w:val="000000" w:themeColor="text1"/>
          <w:kern w:val="2"/>
          <w:szCs w:val="24"/>
        </w:rPr>
        <w:t>名受益人代表与大会召集人授权的</w:t>
      </w:r>
      <w:r>
        <w:rPr>
          <w:color w:val="000000" w:themeColor="text1"/>
          <w:kern w:val="2"/>
          <w:szCs w:val="24"/>
        </w:rPr>
        <w:t>1</w:t>
      </w:r>
      <w:r>
        <w:rPr>
          <w:color w:val="000000" w:themeColor="text1"/>
          <w:kern w:val="2"/>
          <w:szCs w:val="24"/>
        </w:rPr>
        <w:t>名监督员共同担任监票人；如大会由受益人自行召集，受益人大会的主持人应当在会议开始后宣布在出席会议的受益人中选举</w:t>
      </w:r>
      <w:r>
        <w:rPr>
          <w:color w:val="000000" w:themeColor="text1"/>
          <w:kern w:val="2"/>
          <w:szCs w:val="24"/>
        </w:rPr>
        <w:t>3</w:t>
      </w:r>
      <w:r>
        <w:rPr>
          <w:color w:val="000000" w:themeColor="text1"/>
          <w:kern w:val="2"/>
          <w:szCs w:val="24"/>
        </w:rPr>
        <w:t>名受益人代表担任监票人。</w:t>
      </w:r>
    </w:p>
    <w:p w:rsidR="00066166" w:rsidRDefault="00F62BD0">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监票人应当在受益人表决后立即进行清点并由大会主持人当场公布计票结果。</w:t>
      </w:r>
    </w:p>
    <w:p w:rsidR="00066166" w:rsidRDefault="00F62BD0">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如果会议主持人对于提交的表决结果有怀疑，可以对所投票数进行重新清点；如果会议主持人未进行重新清点，而出席会议的受益人或者信托单位持有代表人对会议主持人宣布的表决结果有异议，有权在宣布表决结果后立即要求重新清点，会议主持人应当立即重新清点并公布重新清点结果。</w:t>
      </w:r>
    </w:p>
    <w:p w:rsidR="00066166" w:rsidRDefault="00F62BD0">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以通讯方式召开受益人大会的，在通知的召开时间，如该受益人未能将书面意见送达至召集人，则视为该受益人未参加受益人大会，受益人大会统计表决结果时以实际收到的受益人书面意见为准。</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3" w:name="_Toc164487859"/>
      <w:r>
        <w:rPr>
          <w:rFonts w:ascii="Times New Roman" w:eastAsia="宋体" w:hAnsi="Times New Roman"/>
          <w:color w:val="000000" w:themeColor="text1"/>
          <w:sz w:val="24"/>
          <w:szCs w:val="24"/>
        </w:rPr>
        <w:t>通知和报告</w:t>
      </w:r>
      <w:bookmarkEnd w:id="273"/>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受益人大会决定的事项，应当及时通知相关当事人，并向信托计划的监管部门报告。</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不需要召开受益人大会的事项</w:t>
      </w:r>
    </w:p>
    <w:p w:rsidR="00066166" w:rsidRDefault="00F62BD0">
      <w:pPr>
        <w:pStyle w:val="NormalJustified"/>
        <w:widowControl w:val="0"/>
        <w:spacing w:beforeLines="100" w:before="312" w:afterLines="100" w:after="312" w:line="300" w:lineRule="auto"/>
        <w:ind w:left="720"/>
        <w:rPr>
          <w:kern w:val="2"/>
          <w:szCs w:val="24"/>
        </w:rPr>
      </w:pPr>
      <w:r>
        <w:rPr>
          <w:kern w:val="2"/>
          <w:szCs w:val="24"/>
        </w:rPr>
        <w:t>委托人同意，出现下列情况时受托人可以直接</w:t>
      </w:r>
      <w:r>
        <w:rPr>
          <w:rFonts w:hint="eastAsia"/>
          <w:kern w:val="2"/>
          <w:szCs w:val="24"/>
        </w:rPr>
        <w:t>决定并</w:t>
      </w:r>
      <w:r>
        <w:rPr>
          <w:kern w:val="2"/>
          <w:szCs w:val="24"/>
        </w:rPr>
        <w:t>修改本合同及相关信托文件，不需要召开受益人大会，也不需要取得委托人或受益人的同意：</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在法律允许的范围内扩大本信托计划投资范围、调整投资比例、投资限制等；</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调低由信托财产或委托人承担的费用；</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在法律允许的范围内调整信托单位认购</w:t>
      </w:r>
      <w:r>
        <w:rPr>
          <w:rFonts w:hint="eastAsia"/>
          <w:kern w:val="2"/>
          <w:szCs w:val="24"/>
        </w:rPr>
        <w:t>/</w:t>
      </w:r>
      <w:r>
        <w:rPr>
          <w:rFonts w:hint="eastAsia"/>
          <w:kern w:val="2"/>
          <w:szCs w:val="24"/>
        </w:rPr>
        <w:t>申购</w:t>
      </w:r>
      <w:r>
        <w:rPr>
          <w:kern w:val="2"/>
          <w:szCs w:val="24"/>
        </w:rPr>
        <w:t>方式及收费方式；</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在法律允许的范围内调整信托计划财产投资运用的限制条件；</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rFonts w:hint="eastAsia"/>
          <w:kern w:val="2"/>
          <w:szCs w:val="24"/>
        </w:rPr>
        <w:t>在本合同允许的范围内调整信托计划的开放日；</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变更保管银行等相关服务机构；</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因相应的法律发生变动必须对本合同进行修改；</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以不会导致本信托计划当事人权利义务关系发生重大变化的方式对本合同进行修改；</w:t>
      </w:r>
    </w:p>
    <w:p w:rsidR="00066166" w:rsidRDefault="00F62BD0">
      <w:pPr>
        <w:pStyle w:val="NormalJustified"/>
        <w:widowControl w:val="0"/>
        <w:numPr>
          <w:ilvl w:val="0"/>
          <w:numId w:val="34"/>
        </w:numPr>
        <w:spacing w:beforeLines="100" w:before="312" w:afterLines="100" w:after="312" w:line="300" w:lineRule="auto"/>
        <w:ind w:left="720"/>
        <w:rPr>
          <w:kern w:val="2"/>
          <w:szCs w:val="24"/>
        </w:rPr>
      </w:pPr>
      <w:r>
        <w:rPr>
          <w:kern w:val="2"/>
          <w:szCs w:val="24"/>
        </w:rPr>
        <w:t>以对受益人利益无实质性不利影响的方式对本合同进行修改；</w:t>
      </w:r>
    </w:p>
    <w:p w:rsidR="00066166" w:rsidRDefault="00F62BD0">
      <w:pPr>
        <w:pStyle w:val="NormalJustified"/>
        <w:widowControl w:val="0"/>
        <w:numPr>
          <w:ilvl w:val="0"/>
          <w:numId w:val="34"/>
        </w:numPr>
        <w:spacing w:beforeLines="100" w:before="312" w:afterLines="100" w:after="312" w:line="300" w:lineRule="auto"/>
        <w:ind w:left="720"/>
        <w:rPr>
          <w:color w:val="000000" w:themeColor="text1"/>
          <w:kern w:val="2"/>
          <w:szCs w:val="24"/>
        </w:rPr>
      </w:pPr>
      <w:r>
        <w:rPr>
          <w:rFonts w:hint="eastAsia"/>
          <w:kern w:val="2"/>
          <w:szCs w:val="24"/>
        </w:rPr>
        <w:t>委托人</w:t>
      </w:r>
      <w:r>
        <w:rPr>
          <w:kern w:val="2"/>
          <w:szCs w:val="24"/>
        </w:rPr>
        <w:t>/</w:t>
      </w:r>
      <w:r>
        <w:rPr>
          <w:rFonts w:hint="eastAsia"/>
          <w:kern w:val="2"/>
          <w:szCs w:val="24"/>
        </w:rPr>
        <w:t>受益人同意，在本信托计划投资的标的资管产品召开产品份额持有人会议</w:t>
      </w:r>
      <w:r>
        <w:rPr>
          <w:rFonts w:hint="eastAsia"/>
          <w:kern w:val="2"/>
          <w:szCs w:val="24"/>
        </w:rPr>
        <w:t>/</w:t>
      </w:r>
      <w:r>
        <w:rPr>
          <w:rFonts w:hint="eastAsia"/>
          <w:kern w:val="2"/>
          <w:szCs w:val="24"/>
        </w:rPr>
        <w:t>受益人大会或需以签署合同补充协议等方式对标的资管产品进行变更时，受托人有权代表本信托计划进行表决或签署相关协议文件，不需要召开受益人大会，也不需要取得本信托计划委托人</w:t>
      </w:r>
      <w:r>
        <w:rPr>
          <w:kern w:val="2"/>
          <w:szCs w:val="24"/>
        </w:rPr>
        <w:t>/</w:t>
      </w:r>
      <w:r>
        <w:rPr>
          <w:rFonts w:hint="eastAsia"/>
          <w:kern w:val="2"/>
          <w:szCs w:val="24"/>
        </w:rPr>
        <w:t>受益人同意；</w:t>
      </w:r>
    </w:p>
    <w:p w:rsidR="00066166" w:rsidRDefault="00F62BD0">
      <w:pPr>
        <w:pStyle w:val="NormalJustified"/>
        <w:widowControl w:val="0"/>
        <w:numPr>
          <w:ilvl w:val="0"/>
          <w:numId w:val="34"/>
        </w:numPr>
        <w:spacing w:beforeLines="100" w:before="312" w:afterLines="100" w:after="312" w:line="300" w:lineRule="auto"/>
        <w:ind w:left="720"/>
        <w:rPr>
          <w:color w:val="000000" w:themeColor="text1"/>
          <w:kern w:val="2"/>
          <w:szCs w:val="24"/>
        </w:rPr>
      </w:pPr>
      <w:r>
        <w:rPr>
          <w:rFonts w:hint="eastAsia"/>
          <w:kern w:val="2"/>
          <w:szCs w:val="24"/>
        </w:rPr>
        <w:t>按照法律或信托计划文件规定不需召开受益人大会的其他</w:t>
      </w:r>
      <w:r>
        <w:rPr>
          <w:rFonts w:hint="eastAsia"/>
          <w:kern w:val="2"/>
          <w:szCs w:val="24"/>
        </w:rPr>
        <w:t>情形。</w:t>
      </w: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74" w:name="_Toc91143620"/>
      <w:bookmarkStart w:id="275" w:name="_Toc164487860"/>
      <w:bookmarkStart w:id="276" w:name="_Toc13016396"/>
      <w:r>
        <w:rPr>
          <w:color w:val="000000" w:themeColor="text1"/>
          <w:sz w:val="24"/>
          <w:szCs w:val="24"/>
        </w:rPr>
        <w:t>受托人的解任和辞任</w:t>
      </w:r>
      <w:bookmarkEnd w:id="274"/>
      <w:bookmarkEnd w:id="275"/>
      <w:bookmarkEnd w:id="276"/>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7" w:name="_Toc164487861"/>
      <w:r>
        <w:rPr>
          <w:rFonts w:ascii="Times New Roman" w:eastAsia="宋体" w:hAnsi="Times New Roman"/>
          <w:color w:val="000000" w:themeColor="text1"/>
          <w:sz w:val="24"/>
          <w:szCs w:val="24"/>
        </w:rPr>
        <w:t>受托人的解任</w:t>
      </w:r>
      <w:bookmarkEnd w:id="277"/>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信托计划发生本合同第</w:t>
      </w:r>
      <w:r>
        <w:fldChar w:fldCharType="begin"/>
      </w:r>
      <w:r>
        <w:instrText xml:space="preserve"> REF _Ref175907429 \r \h  \* MERGEFORMAT </w:instrText>
      </w:r>
      <w:r>
        <w:fldChar w:fldCharType="separate"/>
      </w:r>
      <w:r>
        <w:rPr>
          <w:color w:val="000000" w:themeColor="text1"/>
          <w:kern w:val="2"/>
          <w:szCs w:val="24"/>
        </w:rPr>
        <w:t>20.2</w:t>
      </w:r>
      <w:r>
        <w:fldChar w:fldCharType="end"/>
      </w:r>
      <w:r>
        <w:rPr>
          <w:rFonts w:hint="eastAsia"/>
          <w:color w:val="000000" w:themeColor="text1"/>
          <w:kern w:val="2"/>
          <w:szCs w:val="24"/>
        </w:rPr>
        <w:t>条</w:t>
      </w:r>
      <w:r>
        <w:rPr>
          <w:color w:val="000000" w:themeColor="text1"/>
          <w:kern w:val="2"/>
          <w:szCs w:val="24"/>
        </w:rPr>
        <w:t>约定的任何受托人解任事件时，应召开受益人大会；并且如果受益人大会做出解任受托人的决议，则受益人大会应向受托人发出书面解任通知，该通知中应注明受托人解任的生效日期。</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受益人大会发出受托人解任通知后，受托人应继续履行本合同项下受托人的全部职责和义务，并接受受益人大会的监督，直至下列日期中的较晚者：（</w:t>
      </w:r>
      <w:r>
        <w:rPr>
          <w:color w:val="000000" w:themeColor="text1"/>
          <w:kern w:val="2"/>
          <w:szCs w:val="24"/>
        </w:rPr>
        <w:t>A</w:t>
      </w:r>
      <w:r>
        <w:rPr>
          <w:color w:val="000000" w:themeColor="text1"/>
          <w:kern w:val="2"/>
          <w:szCs w:val="24"/>
        </w:rPr>
        <w:t>）在受益人大会任命后续受托人生效之日；（</w:t>
      </w:r>
      <w:r>
        <w:rPr>
          <w:color w:val="000000" w:themeColor="text1"/>
          <w:kern w:val="2"/>
          <w:szCs w:val="24"/>
        </w:rPr>
        <w:t>B</w:t>
      </w:r>
      <w:r>
        <w:rPr>
          <w:color w:val="000000" w:themeColor="text1"/>
          <w:kern w:val="2"/>
          <w:szCs w:val="24"/>
        </w:rPr>
        <w:t>）受托人解任通知中确定的日期。</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除了本条所约定的情形之外，受益人大会不得解任受托人。</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8" w:name="_Toc164487862"/>
      <w:bookmarkStart w:id="279" w:name="_Ref175907429"/>
      <w:r>
        <w:rPr>
          <w:rFonts w:ascii="Times New Roman" w:eastAsia="宋体" w:hAnsi="Times New Roman"/>
          <w:color w:val="000000" w:themeColor="text1"/>
          <w:sz w:val="24"/>
          <w:szCs w:val="24"/>
        </w:rPr>
        <w:t>受托人解任事件</w:t>
      </w:r>
      <w:bookmarkEnd w:id="278"/>
      <w:bookmarkEnd w:id="279"/>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在信托合同项下，构成受托人解任事件的事件包括但不限于：</w:t>
      </w:r>
    </w:p>
    <w:p w:rsidR="00066166" w:rsidRDefault="00F62BD0">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受托人被依法取消了办理集合资金信托业务的资格；</w:t>
      </w:r>
    </w:p>
    <w:p w:rsidR="00066166" w:rsidRDefault="00F62BD0">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受托人违反信托目的处分信托财产，或者管理运用、处分信托财产有重大过失；</w:t>
      </w:r>
    </w:p>
    <w:p w:rsidR="00066166" w:rsidRDefault="00F62BD0">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受托人因解散、依法被撤销、破产或者由接管人接管其资产而不能继续履行管理职责。</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0" w:name="_Toc164487863"/>
      <w:r>
        <w:rPr>
          <w:rFonts w:ascii="Times New Roman" w:eastAsia="宋体" w:hAnsi="Times New Roman"/>
          <w:color w:val="000000" w:themeColor="text1"/>
          <w:sz w:val="24"/>
          <w:szCs w:val="24"/>
        </w:rPr>
        <w:t>受托人的辞任</w:t>
      </w:r>
      <w:bookmarkEnd w:id="280"/>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受托人不得辞去其作为信托合同项下受托人的职责和义务，除非受益人大会决议确认：（</w:t>
      </w:r>
      <w:r>
        <w:rPr>
          <w:color w:val="000000" w:themeColor="text1"/>
          <w:kern w:val="2"/>
          <w:szCs w:val="24"/>
        </w:rPr>
        <w:t>1</w:t>
      </w:r>
      <w:r>
        <w:rPr>
          <w:color w:val="000000" w:themeColor="text1"/>
          <w:kern w:val="2"/>
          <w:szCs w:val="24"/>
        </w:rPr>
        <w:t>）任何应适用的法律不允许受托人继续履行管理职责；且（</w:t>
      </w:r>
      <w:r>
        <w:rPr>
          <w:color w:val="000000" w:themeColor="text1"/>
          <w:kern w:val="2"/>
          <w:szCs w:val="24"/>
        </w:rPr>
        <w:t>2</w:t>
      </w:r>
      <w:r>
        <w:rPr>
          <w:color w:val="000000" w:themeColor="text1"/>
          <w:kern w:val="2"/>
          <w:szCs w:val="24"/>
        </w:rPr>
        <w:t>）受托人无法采取任何应适用的法律所允许的</w:t>
      </w:r>
      <w:r>
        <w:rPr>
          <w:color w:val="000000" w:themeColor="text1"/>
          <w:kern w:val="2"/>
          <w:szCs w:val="24"/>
        </w:rPr>
        <w:t>合理措施以履行其管理职责。</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1" w:name="_Toc164487864"/>
      <w:r>
        <w:rPr>
          <w:rFonts w:ascii="Times New Roman" w:eastAsia="宋体" w:hAnsi="Times New Roman"/>
          <w:color w:val="000000" w:themeColor="text1"/>
          <w:sz w:val="24"/>
          <w:szCs w:val="24"/>
        </w:rPr>
        <w:t>后续受托人的委任</w:t>
      </w:r>
      <w:bookmarkEnd w:id="281"/>
    </w:p>
    <w:p w:rsidR="00066166" w:rsidRDefault="00F62BD0">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决议解任受托人或同意受托人辞任的，受益人大会应任命后续受托人，一经任命，后续受托人即成为受托人在信托计划管理职能的承继者，并应承担受托人在信托合同项下的一切职责、责任和义务。任何后续受托人一经接受任命，将做出信托文件中受托人做出的一切陈述和保证，并享有信托文件中受托人的一切权利，承担信托文件中受托人的一切义务。</w:t>
      </w: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82" w:name="_Toc13016397"/>
      <w:bookmarkStart w:id="283" w:name="_Toc164487865"/>
      <w:bookmarkStart w:id="284" w:name="_Toc91143621"/>
      <w:r>
        <w:rPr>
          <w:color w:val="000000" w:themeColor="text1"/>
          <w:sz w:val="24"/>
          <w:szCs w:val="24"/>
        </w:rPr>
        <w:t>风险揭示与承担</w:t>
      </w:r>
      <w:bookmarkEnd w:id="282"/>
      <w:bookmarkEnd w:id="283"/>
      <w:bookmarkEnd w:id="284"/>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5" w:name="_Toc164487866"/>
      <w:r>
        <w:rPr>
          <w:rFonts w:ascii="Times New Roman" w:eastAsia="宋体" w:hAnsi="Times New Roman"/>
          <w:color w:val="000000" w:themeColor="text1"/>
          <w:sz w:val="24"/>
          <w:szCs w:val="24"/>
        </w:rPr>
        <w:t>风险提示</w:t>
      </w:r>
      <w:bookmarkEnd w:id="285"/>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rPr>
        <w:t>受托人在管理、运用或处分信托财产过程中可能面临多种风险，包括但不限于</w:t>
      </w:r>
      <w:bookmarkStart w:id="286" w:name="_Hlk62208289"/>
      <w:r>
        <w:rPr>
          <w:rFonts w:ascii="宋体" w:hAnsi="宋体" w:hint="eastAsia"/>
          <w:b/>
          <w:bCs/>
        </w:rPr>
        <w:t>信托计划投资标的的风险、标的资管产品特殊风险、信托财产独立性风险、法律法规、政策风险和市场风险、经济周期风险、利率风险、购买力风险、再投资风险、流动性风险、资金损失风险、信托财产变现风险、信托计划延期与提前终止风险、违法违规及违约风险、服务信托认购风险、管理风险、相关机构的经营及操作风险、费用风险、合规性风险、本信托计划不成立或不生效或申购无效的风险、电子交易风险、信息传递风险、代理收付的风险、不可抗力风险及其他风险</w:t>
      </w:r>
      <w:bookmarkEnd w:id="286"/>
      <w:r>
        <w:rPr>
          <w:rFonts w:hint="eastAsia"/>
          <w:b/>
          <w:bCs/>
          <w:color w:val="000000" w:themeColor="text1"/>
        </w:rPr>
        <w:t>，详细风险请认真阅读《风险申明书》。</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受托人承诺</w:t>
      </w:r>
      <w:r>
        <w:rPr>
          <w:rFonts w:hint="eastAsia"/>
          <w:color w:val="000000" w:themeColor="text1"/>
        </w:rPr>
        <w:t>按本合同的约定</w:t>
      </w:r>
      <w:r>
        <w:rPr>
          <w:color w:val="000000" w:themeColor="text1"/>
        </w:rPr>
        <w:t>以受益人的最大利益为宗旨处理本信托计划的信托事务，并谨慎管理计划，但不承诺信托资金不受损失，亦不承诺信托资金的最低收益</w:t>
      </w:r>
      <w:r>
        <w:rPr>
          <w:color w:val="000000" w:themeColor="text1"/>
          <w:kern w:val="2"/>
          <w:szCs w:val="24"/>
        </w:rPr>
        <w:t>。</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7" w:name="_Toc164487867"/>
      <w:r>
        <w:rPr>
          <w:rFonts w:ascii="Times New Roman" w:eastAsia="宋体" w:hAnsi="Times New Roman"/>
          <w:color w:val="000000" w:themeColor="text1"/>
          <w:sz w:val="24"/>
          <w:szCs w:val="24"/>
        </w:rPr>
        <w:t>风险的承担</w:t>
      </w:r>
      <w:bookmarkEnd w:id="287"/>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受托人依据信托文件的约定管理、运用信托资金导致信托资金受到损失的，由本信托计划的信托财产承担。</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受托人违背信托文件的约定管理、运用、处分信托资金导致信托资金受到损失的，其损失部分由受托人负责赔偿。受托</w:t>
      </w:r>
      <w:r>
        <w:rPr>
          <w:color w:val="000000" w:themeColor="text1"/>
          <w:kern w:val="2"/>
          <w:szCs w:val="24"/>
        </w:rPr>
        <w:t>人赔</w:t>
      </w:r>
      <w:r>
        <w:rPr>
          <w:color w:val="000000" w:themeColor="text1"/>
        </w:rPr>
        <w:t>偿不足时由本信托计划的信托财产承担</w:t>
      </w:r>
      <w:r>
        <w:rPr>
          <w:color w:val="000000" w:themeColor="text1"/>
          <w:kern w:val="2"/>
          <w:szCs w:val="24"/>
        </w:rPr>
        <w:t>。</w:t>
      </w:r>
    </w:p>
    <w:p w:rsidR="00066166" w:rsidRDefault="00066166">
      <w:pPr>
        <w:pStyle w:val="NormalJustified"/>
        <w:widowControl w:val="0"/>
        <w:tabs>
          <w:tab w:val="left" w:pos="2552"/>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88" w:name="_Toc164487868"/>
      <w:bookmarkStart w:id="289" w:name="_Toc91143622"/>
      <w:bookmarkStart w:id="290" w:name="_Toc13016398"/>
      <w:r>
        <w:rPr>
          <w:color w:val="000000" w:themeColor="text1"/>
          <w:sz w:val="24"/>
          <w:szCs w:val="24"/>
        </w:rPr>
        <w:t>违约责任</w:t>
      </w:r>
      <w:bookmarkEnd w:id="288"/>
      <w:bookmarkEnd w:id="289"/>
      <w:bookmarkEnd w:id="290"/>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1" w:name="_Toc164487869"/>
      <w:r>
        <w:rPr>
          <w:rFonts w:ascii="Times New Roman" w:eastAsia="宋体" w:hAnsi="Times New Roman"/>
          <w:color w:val="000000" w:themeColor="text1"/>
          <w:sz w:val="24"/>
          <w:szCs w:val="24"/>
        </w:rPr>
        <w:t>一般原则</w:t>
      </w:r>
      <w:bookmarkEnd w:id="291"/>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任何一方违反信托合同的约定，视为该方违约，违约方应向对方赔偿因其违约行为而遭受的直接损失。</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2" w:name="_Toc164487870"/>
      <w:r>
        <w:rPr>
          <w:rFonts w:ascii="Times New Roman" w:eastAsia="宋体" w:hAnsi="Times New Roman"/>
          <w:color w:val="000000" w:themeColor="text1"/>
          <w:sz w:val="24"/>
          <w:szCs w:val="24"/>
        </w:rPr>
        <w:t>委托人的违约责任</w:t>
      </w:r>
      <w:bookmarkEnd w:id="292"/>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除前述违约赔偿一般原则以外，委托人应赔偿受托人或信托财产因以下事项而遭受的直接损失：</w:t>
      </w:r>
    </w:p>
    <w:p w:rsidR="00066166" w:rsidRDefault="00F62BD0">
      <w:pPr>
        <w:pStyle w:val="NormalJustified"/>
        <w:widowControl w:val="0"/>
        <w:numPr>
          <w:ilvl w:val="0"/>
          <w:numId w:val="36"/>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委托人未按照信托</w:t>
      </w:r>
      <w:r>
        <w:rPr>
          <w:rFonts w:hint="eastAsia"/>
          <w:color w:val="000000" w:themeColor="text1"/>
          <w:kern w:val="2"/>
          <w:szCs w:val="24"/>
        </w:rPr>
        <w:t>文件</w:t>
      </w:r>
      <w:r>
        <w:rPr>
          <w:color w:val="000000" w:themeColor="text1"/>
          <w:kern w:val="2"/>
          <w:szCs w:val="24"/>
        </w:rPr>
        <w:t>的约定向受托人交付认购</w:t>
      </w:r>
      <w:r>
        <w:rPr>
          <w:rFonts w:hint="eastAsia"/>
          <w:color w:val="000000" w:themeColor="text1"/>
          <w:kern w:val="2"/>
          <w:szCs w:val="24"/>
        </w:rPr>
        <w:t>（申购）</w:t>
      </w:r>
      <w:r>
        <w:rPr>
          <w:color w:val="000000" w:themeColor="text1"/>
          <w:kern w:val="2"/>
          <w:szCs w:val="24"/>
        </w:rPr>
        <w:t>资金；</w:t>
      </w:r>
    </w:p>
    <w:p w:rsidR="00066166" w:rsidRDefault="00F62BD0">
      <w:pPr>
        <w:pStyle w:val="NormalJustified"/>
        <w:widowControl w:val="0"/>
        <w:numPr>
          <w:ilvl w:val="0"/>
          <w:numId w:val="36"/>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因委托人在委托给受托人管理、运用的信托资金的</w:t>
      </w:r>
      <w:r>
        <w:rPr>
          <w:rFonts w:hint="eastAsia"/>
          <w:color w:val="000000" w:themeColor="text1"/>
          <w:kern w:val="2"/>
          <w:szCs w:val="24"/>
        </w:rPr>
        <w:t>真实、</w:t>
      </w:r>
      <w:r>
        <w:rPr>
          <w:color w:val="000000" w:themeColor="text1"/>
          <w:kern w:val="2"/>
          <w:szCs w:val="24"/>
        </w:rPr>
        <w:t>合法性存在问题而导致受托人受到起诉或任何调查；</w:t>
      </w:r>
    </w:p>
    <w:p w:rsidR="00066166" w:rsidRDefault="00F62BD0">
      <w:pPr>
        <w:pStyle w:val="NormalJustified"/>
        <w:widowControl w:val="0"/>
        <w:numPr>
          <w:ilvl w:val="0"/>
          <w:numId w:val="36"/>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委托人在信托</w:t>
      </w:r>
      <w:r>
        <w:rPr>
          <w:rFonts w:hint="eastAsia"/>
          <w:color w:val="000000" w:themeColor="text1"/>
          <w:kern w:val="2"/>
          <w:szCs w:val="24"/>
        </w:rPr>
        <w:t>合同</w:t>
      </w:r>
      <w:r>
        <w:rPr>
          <w:color w:val="000000" w:themeColor="text1"/>
          <w:kern w:val="2"/>
          <w:szCs w:val="24"/>
        </w:rPr>
        <w:t>及其签署的其他信托文件中做出的任何陈述和保证在做出时是错误的或虚假的。</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3" w:name="_Toc164487871"/>
      <w:r>
        <w:rPr>
          <w:rFonts w:ascii="Times New Roman" w:eastAsia="宋体" w:hAnsi="Times New Roman"/>
          <w:color w:val="000000" w:themeColor="text1"/>
          <w:sz w:val="24"/>
          <w:szCs w:val="24"/>
        </w:rPr>
        <w:t>受托人的违约责任</w:t>
      </w:r>
      <w:bookmarkEnd w:id="293"/>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除前述违约赔偿一般原则以外，受托人应赔偿受益人因以下事项而遭受的直接损失：</w:t>
      </w:r>
    </w:p>
    <w:p w:rsidR="00066166" w:rsidRDefault="00F62BD0">
      <w:pPr>
        <w:pStyle w:val="NormalJustified"/>
        <w:widowControl w:val="0"/>
        <w:numPr>
          <w:ilvl w:val="0"/>
          <w:numId w:val="37"/>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因受托人过错而丧失其拥有的与信托合同项下管理服务相关的业务资格；</w:t>
      </w:r>
    </w:p>
    <w:p w:rsidR="00066166" w:rsidRDefault="00F62BD0">
      <w:pPr>
        <w:pStyle w:val="NormalJustified"/>
        <w:widowControl w:val="0"/>
        <w:numPr>
          <w:ilvl w:val="0"/>
          <w:numId w:val="37"/>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受托人在信托合同及其签署的其他信托文件中做出的任何陈述和保证以及受托人根据信托合同提供的任何信息或报告在做出时是错误的或虚假的</w:t>
      </w:r>
      <w:r>
        <w:rPr>
          <w:rFonts w:hint="eastAsia"/>
          <w:color w:val="000000" w:themeColor="text1"/>
          <w:kern w:val="2"/>
          <w:szCs w:val="24"/>
        </w:rPr>
        <w:t>，但是非因受托人主观原因而导致其估值存在差错的情形除外</w:t>
      </w:r>
      <w:r>
        <w:rPr>
          <w:color w:val="000000" w:themeColor="text1"/>
          <w:kern w:val="2"/>
          <w:szCs w:val="24"/>
        </w:rPr>
        <w:t>；</w:t>
      </w:r>
    </w:p>
    <w:p w:rsidR="00066166" w:rsidRDefault="00F62BD0">
      <w:pPr>
        <w:pStyle w:val="NormalJustified"/>
        <w:widowControl w:val="0"/>
        <w:numPr>
          <w:ilvl w:val="0"/>
          <w:numId w:val="37"/>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受托人未履行或未全部履行法律规定的职责或信托合同或其他信托文件约定的任何职责或义务，致使信托财产受到损失。</w:t>
      </w:r>
    </w:p>
    <w:p w:rsidR="00066166" w:rsidRDefault="00066166">
      <w:pPr>
        <w:pStyle w:val="NormalJustified"/>
        <w:widowControl w:val="0"/>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94" w:name="_Toc164487872"/>
      <w:bookmarkStart w:id="295" w:name="_Toc13016399"/>
      <w:bookmarkStart w:id="296" w:name="_Toc91143623"/>
      <w:r>
        <w:rPr>
          <w:color w:val="000000" w:themeColor="text1"/>
          <w:sz w:val="24"/>
          <w:szCs w:val="24"/>
        </w:rPr>
        <w:t>保密义务</w:t>
      </w:r>
      <w:bookmarkEnd w:id="294"/>
      <w:bookmarkEnd w:id="295"/>
      <w:bookmarkEnd w:id="296"/>
    </w:p>
    <w:p w:rsidR="00066166" w:rsidRDefault="00F62BD0">
      <w:pPr>
        <w:spacing w:beforeLines="100" w:before="312" w:afterLines="100" w:after="312" w:line="300" w:lineRule="auto"/>
        <w:ind w:firstLineChars="225" w:firstLine="540"/>
        <w:rPr>
          <w:color w:val="000000" w:themeColor="text1"/>
          <w:sz w:val="24"/>
        </w:rPr>
      </w:pPr>
      <w:r>
        <w:rPr>
          <w:color w:val="000000" w:themeColor="text1"/>
          <w:sz w:val="24"/>
        </w:rPr>
        <w:t>本合同双方同意，对其中一方或其代表提供给另一方的有关本合同及双方签署的本合同项下交易的所有重要方面的信息及</w:t>
      </w:r>
      <w:r>
        <w:rPr>
          <w:color w:val="000000" w:themeColor="text1"/>
          <w:sz w:val="24"/>
        </w:rPr>
        <w:t>/</w:t>
      </w:r>
      <w:r>
        <w:rPr>
          <w:color w:val="000000" w:themeColor="text1"/>
          <w:sz w:val="24"/>
        </w:rPr>
        <w:t>或本合同所含信息（包括有关定价的信息，但不包括有证据证明是经正当授权的第三方收到、披露或公开的信息）予以保密，并且同意，未经对方书面同意，不向任何其他方披露此类信息（不包括与本合同拟议之交易有关而需要获知以上信息的披露方的雇员、高级职员和董事），但以下情况除外：</w:t>
      </w:r>
    </w:p>
    <w:p w:rsidR="00066166" w:rsidRDefault="00F62BD0">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1</w:t>
      </w:r>
      <w:r>
        <w:rPr>
          <w:color w:val="000000" w:themeColor="text1"/>
          <w:sz w:val="24"/>
        </w:rPr>
        <w:t>）</w:t>
      </w:r>
      <w:r>
        <w:rPr>
          <w:rFonts w:hint="eastAsia"/>
          <w:color w:val="000000" w:themeColor="text1"/>
          <w:sz w:val="24"/>
        </w:rPr>
        <w:t>为进行本合同拟议之交易而向合格投资者披露；</w:t>
      </w:r>
    </w:p>
    <w:p w:rsidR="00066166" w:rsidRDefault="00F62BD0">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2</w:t>
      </w:r>
      <w:r>
        <w:rPr>
          <w:color w:val="000000" w:themeColor="text1"/>
          <w:sz w:val="24"/>
        </w:rPr>
        <w:t>）</w:t>
      </w:r>
      <w:r>
        <w:rPr>
          <w:rFonts w:hint="eastAsia"/>
          <w:color w:val="000000" w:themeColor="text1"/>
          <w:sz w:val="24"/>
        </w:rPr>
        <w:t>向与本交易有关而需要获知以上信息并受保密协议约束的律师、会计师、顾问和咨询人员披露；</w:t>
      </w:r>
    </w:p>
    <w:p w:rsidR="00066166" w:rsidRDefault="00F62BD0">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3</w:t>
      </w:r>
      <w:r>
        <w:rPr>
          <w:color w:val="000000" w:themeColor="text1"/>
          <w:sz w:val="24"/>
        </w:rPr>
        <w:t>）</w:t>
      </w:r>
      <w:r>
        <w:rPr>
          <w:rFonts w:hint="eastAsia"/>
          <w:color w:val="000000" w:themeColor="text1"/>
          <w:sz w:val="24"/>
        </w:rPr>
        <w:t>根据适用的法律法规的要求，向中国的有关政府部门或者管理机构披露；及</w:t>
      </w:r>
    </w:p>
    <w:p w:rsidR="00066166" w:rsidRDefault="00F62BD0">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4</w:t>
      </w:r>
      <w:r>
        <w:rPr>
          <w:color w:val="000000" w:themeColor="text1"/>
          <w:sz w:val="24"/>
        </w:rPr>
        <w:t>）</w:t>
      </w:r>
      <w:r>
        <w:rPr>
          <w:rFonts w:hint="eastAsia"/>
          <w:color w:val="000000" w:themeColor="text1"/>
          <w:sz w:val="24"/>
        </w:rPr>
        <w:t>根据适用的法律法规的要求所做的其他披露。未经其他方的事先书面同意，任何一方不得将本合同拟议之交易向新闻媒体予以公开披露或者发表声明。</w:t>
      </w:r>
    </w:p>
    <w:p w:rsidR="00066166" w:rsidRDefault="00066166">
      <w:pPr>
        <w:spacing w:beforeLines="100" w:before="312" w:afterLines="100" w:after="312" w:line="300" w:lineRule="auto"/>
        <w:ind w:firstLineChars="225" w:firstLine="540"/>
        <w:rPr>
          <w:color w:val="000000" w:themeColor="text1"/>
          <w:sz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297" w:name="_Toc13016400"/>
      <w:bookmarkStart w:id="298" w:name="_Toc164487873"/>
      <w:bookmarkStart w:id="299" w:name="_Toc91143624"/>
      <w:r>
        <w:rPr>
          <w:color w:val="000000" w:themeColor="text1"/>
          <w:sz w:val="24"/>
          <w:szCs w:val="24"/>
        </w:rPr>
        <w:t>法律适用和争议解决</w:t>
      </w:r>
      <w:bookmarkEnd w:id="297"/>
      <w:bookmarkEnd w:id="298"/>
      <w:bookmarkEnd w:id="299"/>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0" w:name="_Toc164487874"/>
      <w:r>
        <w:rPr>
          <w:rFonts w:ascii="Times New Roman" w:eastAsia="宋体" w:hAnsi="Times New Roman"/>
          <w:color w:val="000000" w:themeColor="text1"/>
          <w:sz w:val="24"/>
          <w:szCs w:val="24"/>
        </w:rPr>
        <w:t>法律适用</w:t>
      </w:r>
      <w:bookmarkEnd w:id="300"/>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本合同的订立、生效、履行、解释、修改和终止等事项适用中国法律。</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1" w:name="_Toc164487875"/>
      <w:r>
        <w:rPr>
          <w:rFonts w:ascii="Times New Roman" w:eastAsia="宋体" w:hAnsi="Times New Roman"/>
          <w:color w:val="000000" w:themeColor="text1"/>
          <w:sz w:val="24"/>
          <w:szCs w:val="24"/>
        </w:rPr>
        <w:t>争议解决</w:t>
      </w:r>
      <w:bookmarkEnd w:id="301"/>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凡因本合同引起的或与本合同有关的任何争议，由双方协商解决。如双方在争议发生后</w:t>
      </w:r>
      <w:r>
        <w:rPr>
          <w:color w:val="000000" w:themeColor="text1"/>
          <w:kern w:val="2"/>
          <w:szCs w:val="24"/>
        </w:rPr>
        <w:t>30</w:t>
      </w:r>
      <w:r>
        <w:rPr>
          <w:color w:val="000000" w:themeColor="text1"/>
          <w:kern w:val="2"/>
          <w:szCs w:val="24"/>
        </w:rPr>
        <w:t>日内协商未成，</w:t>
      </w:r>
      <w:r>
        <w:rPr>
          <w:rFonts w:hint="eastAsia"/>
          <w:color w:val="000000" w:themeColor="text1"/>
          <w:kern w:val="2"/>
          <w:szCs w:val="24"/>
        </w:rPr>
        <w:t>则应</w:t>
      </w:r>
      <w:r>
        <w:rPr>
          <w:color w:val="000000" w:themeColor="text1"/>
          <w:kern w:val="2"/>
          <w:szCs w:val="24"/>
        </w:rPr>
        <w:t>就有关争议向</w:t>
      </w:r>
      <w:r>
        <w:rPr>
          <w:rFonts w:hint="eastAsia"/>
          <w:b/>
          <w:bCs/>
          <w:color w:val="000000" w:themeColor="text1"/>
          <w:kern w:val="2"/>
          <w:szCs w:val="24"/>
        </w:rPr>
        <w:t>受托人注册地</w:t>
      </w:r>
      <w:r>
        <w:rPr>
          <w:color w:val="000000" w:themeColor="text1"/>
          <w:kern w:val="2"/>
          <w:szCs w:val="24"/>
        </w:rPr>
        <w:t>有管辖权的人民法院提出诉讼。</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除双方发生争议的事项外，双方仍应当本着善意的原则按照本合同及其他相关交易文件的约定继续履行各自义务。</w:t>
      </w:r>
    </w:p>
    <w:p w:rsidR="00066166" w:rsidRDefault="00066166">
      <w:pPr>
        <w:pStyle w:val="NormalJustified"/>
        <w:widowControl w:val="0"/>
        <w:tabs>
          <w:tab w:val="left" w:pos="2552"/>
        </w:tabs>
        <w:spacing w:beforeLines="100" w:before="312" w:afterLines="100" w:after="312" w:line="300" w:lineRule="auto"/>
        <w:ind w:left="720"/>
        <w:rPr>
          <w:color w:val="000000" w:themeColor="text1"/>
          <w:kern w:val="2"/>
          <w:szCs w:val="24"/>
        </w:rPr>
      </w:pPr>
    </w:p>
    <w:p w:rsidR="00066166" w:rsidRDefault="00F62BD0">
      <w:pPr>
        <w:pStyle w:val="1"/>
        <w:tabs>
          <w:tab w:val="clear" w:pos="2552"/>
        </w:tabs>
        <w:spacing w:beforeLines="100" w:before="312" w:afterLines="100" w:after="312" w:line="300" w:lineRule="auto"/>
        <w:ind w:left="0" w:firstLine="0"/>
        <w:jc w:val="center"/>
        <w:rPr>
          <w:color w:val="000000" w:themeColor="text1"/>
          <w:sz w:val="24"/>
          <w:szCs w:val="24"/>
        </w:rPr>
      </w:pPr>
      <w:bookmarkStart w:id="302" w:name="_Toc91143625"/>
      <w:bookmarkStart w:id="303" w:name="_Toc164487876"/>
      <w:bookmarkStart w:id="304" w:name="_Toc13016401"/>
      <w:r>
        <w:rPr>
          <w:color w:val="000000" w:themeColor="text1"/>
          <w:sz w:val="24"/>
          <w:szCs w:val="24"/>
        </w:rPr>
        <w:t>其他</w:t>
      </w:r>
      <w:bookmarkEnd w:id="302"/>
      <w:bookmarkEnd w:id="303"/>
      <w:bookmarkEnd w:id="304"/>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5" w:name="_Ref41407501"/>
      <w:bookmarkStart w:id="306" w:name="_Ref175907257"/>
      <w:bookmarkStart w:id="307" w:name="_Ref175907296"/>
      <w:bookmarkStart w:id="308" w:name="_Toc164487877"/>
      <w:bookmarkStart w:id="309" w:name="_Ref343089106"/>
      <w:bookmarkStart w:id="310" w:name="_Ref175906740"/>
      <w:bookmarkStart w:id="311" w:name="_Ref175907279"/>
      <w:r>
        <w:rPr>
          <w:rFonts w:ascii="Times New Roman" w:eastAsia="宋体" w:hAnsi="Times New Roman"/>
          <w:color w:val="000000" w:themeColor="text1"/>
          <w:sz w:val="24"/>
          <w:szCs w:val="24"/>
        </w:rPr>
        <w:t>通知</w:t>
      </w:r>
      <w:bookmarkEnd w:id="305"/>
      <w:bookmarkEnd w:id="306"/>
      <w:bookmarkEnd w:id="307"/>
      <w:bookmarkEnd w:id="308"/>
      <w:bookmarkEnd w:id="309"/>
      <w:bookmarkEnd w:id="310"/>
      <w:bookmarkEnd w:id="311"/>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312" w:name="_Ref175907642"/>
      <w:r>
        <w:rPr>
          <w:color w:val="000000" w:themeColor="text1"/>
          <w:kern w:val="2"/>
          <w:szCs w:val="24"/>
        </w:rPr>
        <w:t>除</w:t>
      </w:r>
      <w:bookmarkStart w:id="313" w:name="_Hlk36744530"/>
      <w:r>
        <w:rPr>
          <w:rFonts w:hint="eastAsia"/>
          <w:color w:val="000000" w:themeColor="text1"/>
          <w:kern w:val="2"/>
          <w:szCs w:val="24"/>
        </w:rPr>
        <w:t>受托人以电子化方式进行通知或</w:t>
      </w:r>
      <w:bookmarkEnd w:id="313"/>
      <w:r>
        <w:rPr>
          <w:color w:val="000000" w:themeColor="text1"/>
          <w:kern w:val="2"/>
          <w:szCs w:val="24"/>
        </w:rPr>
        <w:t>本合同另有约定</w:t>
      </w:r>
      <w:r>
        <w:rPr>
          <w:rFonts w:hint="eastAsia"/>
          <w:color w:val="000000" w:themeColor="text1"/>
          <w:kern w:val="2"/>
          <w:szCs w:val="24"/>
        </w:rPr>
        <w:t>外</w:t>
      </w:r>
      <w:r>
        <w:rPr>
          <w:color w:val="000000" w:themeColor="text1"/>
          <w:kern w:val="2"/>
          <w:szCs w:val="24"/>
        </w:rPr>
        <w:t>，本合同项下要求的或允许的向任何一方作出的所有通知、要求、指令和其他通讯应以书面形式做出并且应由发出通知的一方或其代表签署。通知应采用</w:t>
      </w:r>
      <w:r>
        <w:rPr>
          <w:color w:val="000000" w:themeColor="text1"/>
        </w:rPr>
        <w:t>专人送达、挂号信邮递、特快专递、传真</w:t>
      </w:r>
      <w:r>
        <w:rPr>
          <w:rFonts w:hint="eastAsia"/>
          <w:color w:val="000000" w:themeColor="text1"/>
        </w:rPr>
        <w:t>、</w:t>
      </w:r>
      <w:r>
        <w:rPr>
          <w:color w:val="000000" w:themeColor="text1"/>
        </w:rPr>
        <w:t>电子邮件</w:t>
      </w:r>
      <w:r>
        <w:rPr>
          <w:rFonts w:hint="eastAsia"/>
          <w:color w:val="000000" w:themeColor="text1"/>
        </w:rPr>
        <w:t>或受托人认可的其他电子化</w:t>
      </w:r>
      <w:r>
        <w:rPr>
          <w:color w:val="000000" w:themeColor="text1"/>
          <w:kern w:val="2"/>
          <w:szCs w:val="24"/>
        </w:rPr>
        <w:t>方式</w:t>
      </w:r>
      <w:r>
        <w:rPr>
          <w:rFonts w:hint="eastAsia"/>
          <w:color w:val="000000" w:themeColor="text1"/>
          <w:kern w:val="2"/>
          <w:szCs w:val="24"/>
        </w:rPr>
        <w:t>（包括但不限于手机短信等）</w:t>
      </w:r>
      <w:r>
        <w:rPr>
          <w:color w:val="000000" w:themeColor="text1"/>
          <w:kern w:val="2"/>
          <w:szCs w:val="24"/>
        </w:rPr>
        <w:t>递送至本合同第</w:t>
      </w:r>
      <w:r>
        <w:fldChar w:fldCharType="begin"/>
      </w:r>
      <w:r>
        <w:instrText xml:space="preserve"> REF _Ref175907622 \r \h  \* MERGEFORMAT </w:instrText>
      </w:r>
      <w:r>
        <w:fldChar w:fldCharType="separate"/>
      </w:r>
      <w:r>
        <w:rPr>
          <w:color w:val="000000" w:themeColor="text1"/>
          <w:kern w:val="2"/>
          <w:szCs w:val="24"/>
        </w:rPr>
        <w:t>25.1.2</w:t>
      </w:r>
      <w:r>
        <w:fldChar w:fldCharType="end"/>
      </w:r>
      <w:r>
        <w:rPr>
          <w:color w:val="000000" w:themeColor="text1"/>
          <w:kern w:val="2"/>
          <w:szCs w:val="24"/>
        </w:rPr>
        <w:t>条中所列的地址或传真号码（或按照本条的约定正式通知的其他地址或传真号码）。以</w:t>
      </w:r>
      <w:r>
        <w:rPr>
          <w:color w:val="000000" w:themeColor="text1"/>
        </w:rPr>
        <w:t>专人送达、挂号信邮递、特快专递、传真</w:t>
      </w:r>
      <w:r>
        <w:rPr>
          <w:rFonts w:hint="eastAsia"/>
          <w:color w:val="000000" w:themeColor="text1"/>
        </w:rPr>
        <w:t>、</w:t>
      </w:r>
      <w:r>
        <w:rPr>
          <w:color w:val="000000" w:themeColor="text1"/>
        </w:rPr>
        <w:t>电子邮件</w:t>
      </w:r>
      <w:r>
        <w:rPr>
          <w:rFonts w:hint="eastAsia"/>
          <w:color w:val="000000" w:themeColor="text1"/>
        </w:rPr>
        <w:t>或受托人认可的其他电子化</w:t>
      </w:r>
      <w:r>
        <w:rPr>
          <w:color w:val="000000" w:themeColor="text1"/>
          <w:kern w:val="2"/>
          <w:szCs w:val="24"/>
        </w:rPr>
        <w:t>方式发送的通知应视为已在以下情况有效送达：</w:t>
      </w:r>
      <w:bookmarkEnd w:id="312"/>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专人送达：通知方取得的被通知方签收单所示日；</w:t>
      </w:r>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挂号信邮递：发出通知方持有的国内挂号函件收据所示日后第</w:t>
      </w:r>
      <w:r>
        <w:rPr>
          <w:color w:val="000000" w:themeColor="text1"/>
          <w:sz w:val="24"/>
        </w:rPr>
        <w:t>5</w:t>
      </w:r>
      <w:r>
        <w:rPr>
          <w:color w:val="000000" w:themeColor="text1"/>
          <w:sz w:val="24"/>
        </w:rPr>
        <w:t>日；</w:t>
      </w:r>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特快专递：发出通知方持有的发送凭证上邮戳日起第</w:t>
      </w:r>
      <w:r>
        <w:rPr>
          <w:color w:val="000000" w:themeColor="text1"/>
          <w:sz w:val="24"/>
        </w:rPr>
        <w:t>4</w:t>
      </w:r>
      <w:r>
        <w:rPr>
          <w:color w:val="000000" w:themeColor="text1"/>
          <w:sz w:val="24"/>
        </w:rPr>
        <w:t>日；</w:t>
      </w:r>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传真方式：如果传真机生成了发送成功的确认的，在相关传真发送时；</w:t>
      </w:r>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电子邮件：通知到达对方电子信箱之日</w:t>
      </w:r>
      <w:r>
        <w:rPr>
          <w:rFonts w:hint="eastAsia"/>
          <w:color w:val="000000" w:themeColor="text1"/>
          <w:sz w:val="24"/>
        </w:rPr>
        <w:t>；</w:t>
      </w:r>
    </w:p>
    <w:p w:rsidR="00066166" w:rsidRDefault="00F62BD0">
      <w:pPr>
        <w:numPr>
          <w:ilvl w:val="0"/>
          <w:numId w:val="38"/>
        </w:numPr>
        <w:tabs>
          <w:tab w:val="clear" w:pos="3660"/>
          <w:tab w:val="left" w:pos="1276"/>
        </w:tabs>
        <w:spacing w:beforeLines="100" w:before="312" w:afterLines="100" w:after="312" w:line="300" w:lineRule="auto"/>
        <w:ind w:left="1276" w:hanging="567"/>
        <w:rPr>
          <w:color w:val="000000" w:themeColor="text1"/>
          <w:sz w:val="24"/>
        </w:rPr>
      </w:pPr>
      <w:r>
        <w:rPr>
          <w:rFonts w:hint="eastAsia"/>
          <w:color w:val="000000" w:themeColor="text1"/>
          <w:sz w:val="24"/>
        </w:rPr>
        <w:t>其他电子化方式：</w:t>
      </w:r>
      <w:r>
        <w:rPr>
          <w:rFonts w:hint="eastAsia"/>
          <w:color w:val="000000" w:themeColor="text1"/>
          <w:kern w:val="0"/>
          <w:sz w:val="24"/>
          <w:szCs w:val="20"/>
        </w:rPr>
        <w:t>受托人通过官方网站、</w:t>
      </w:r>
      <w:r>
        <w:rPr>
          <w:rFonts w:hint="eastAsia"/>
          <w:color w:val="000000" w:themeColor="text1"/>
          <w:kern w:val="0"/>
          <w:sz w:val="24"/>
          <w:szCs w:val="20"/>
        </w:rPr>
        <w:t>A</w:t>
      </w:r>
      <w:r>
        <w:rPr>
          <w:color w:val="000000" w:themeColor="text1"/>
          <w:kern w:val="0"/>
          <w:sz w:val="24"/>
          <w:szCs w:val="20"/>
        </w:rPr>
        <w:t>PP</w:t>
      </w:r>
      <w:r>
        <w:rPr>
          <w:rFonts w:hint="eastAsia"/>
          <w:color w:val="000000" w:themeColor="text1"/>
          <w:kern w:val="0"/>
          <w:sz w:val="24"/>
          <w:szCs w:val="20"/>
        </w:rPr>
        <w:t>或其他经受托人认可的电子化渠道以公告牌、站内信、邮件通知、信息提示、说明、展示、手机短信等任何方式进行通知，即视为该等通知、提示、说明信息于受托人发出或在上述经受托人认可的电子化渠道生成之日即视为有效送达</w:t>
      </w:r>
      <w:r>
        <w:rPr>
          <w:color w:val="000000" w:themeColor="text1"/>
          <w:sz w:val="24"/>
        </w:rPr>
        <w:t>。</w:t>
      </w:r>
    </w:p>
    <w:p w:rsidR="00066166" w:rsidRDefault="00F62BD0">
      <w:pPr>
        <w:tabs>
          <w:tab w:val="left" w:pos="1276"/>
          <w:tab w:val="left" w:pos="3660"/>
        </w:tabs>
        <w:spacing w:beforeLines="100" w:before="312" w:afterLines="100" w:after="312" w:line="300" w:lineRule="auto"/>
        <w:ind w:left="1276"/>
        <w:rPr>
          <w:color w:val="000000" w:themeColor="text1"/>
          <w:sz w:val="24"/>
        </w:rPr>
      </w:pPr>
      <w:bookmarkStart w:id="314" w:name="_Hlk47966941"/>
      <w:r>
        <w:rPr>
          <w:rFonts w:hint="eastAsia"/>
          <w:color w:val="000000" w:themeColor="text1"/>
          <w:sz w:val="24"/>
        </w:rPr>
        <w:t>如采取多种方式通知的，则以最先送达的方式确定送达时间</w:t>
      </w:r>
      <w:bookmarkEnd w:id="314"/>
      <w:r>
        <w:rPr>
          <w:rFonts w:hint="eastAsia"/>
          <w:color w:val="000000" w:themeColor="text1"/>
          <w:sz w:val="24"/>
        </w:rPr>
        <w:t>。</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315" w:name="_Ref175907622"/>
      <w:r>
        <w:rPr>
          <w:color w:val="000000" w:themeColor="text1"/>
          <w:kern w:val="2"/>
          <w:szCs w:val="24"/>
        </w:rPr>
        <w:t>双方用于本合同第</w:t>
      </w:r>
      <w:r>
        <w:fldChar w:fldCharType="begin"/>
      </w:r>
      <w:r>
        <w:instrText xml:space="preserve"> REF _Ref175907642 \r \h  \* MERGEFORMAT </w:instrText>
      </w:r>
      <w:r>
        <w:fldChar w:fldCharType="separate"/>
      </w:r>
      <w:r>
        <w:rPr>
          <w:color w:val="000000" w:themeColor="text1"/>
          <w:kern w:val="2"/>
          <w:szCs w:val="24"/>
        </w:rPr>
        <w:t>25.1.1</w:t>
      </w:r>
      <w:r>
        <w:fldChar w:fldCharType="end"/>
      </w:r>
      <w:r>
        <w:rPr>
          <w:color w:val="000000" w:themeColor="text1"/>
          <w:kern w:val="2"/>
          <w:szCs w:val="24"/>
        </w:rPr>
        <w:t>条所述通知用途的地址和传真号码如下：</w:t>
      </w:r>
      <w:bookmarkEnd w:id="315"/>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如发送给</w:t>
      </w:r>
      <w:r>
        <w:rPr>
          <w:color w:val="000000" w:themeColor="text1"/>
          <w:kern w:val="2"/>
          <w:szCs w:val="24"/>
        </w:rPr>
        <w:t>委托人</w:t>
      </w:r>
      <w:r>
        <w:rPr>
          <w:color w:val="000000" w:themeColor="text1"/>
        </w:rPr>
        <w:t>则适用本合同</w:t>
      </w:r>
      <w:r>
        <w:rPr>
          <w:rFonts w:hint="eastAsia"/>
          <w:color w:val="000000" w:themeColor="text1"/>
        </w:rPr>
        <w:t>《认购（申购）条款》</w:t>
      </w:r>
      <w:r>
        <w:rPr>
          <w:color w:val="000000" w:themeColor="text1"/>
        </w:rPr>
        <w:t>载明的地址。</w:t>
      </w:r>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rPr>
        <w:t>如发送给受托人，</w:t>
      </w:r>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rPr>
        <w:t>地址：</w:t>
      </w:r>
      <w:bookmarkStart w:id="316" w:name="_Hlk57298369"/>
      <w:r>
        <w:rPr>
          <w:rFonts w:hint="eastAsia"/>
          <w:color w:val="000000" w:themeColor="text1"/>
        </w:rPr>
        <w:t xml:space="preserve"> </w:t>
      </w:r>
      <w:bookmarkEnd w:id="316"/>
      <w:r>
        <w:rPr>
          <w:rFonts w:hint="eastAsia"/>
          <w:color w:val="000000" w:themeColor="text1"/>
        </w:rPr>
        <w:t>北京市东城区朝阳门北大街</w:t>
      </w:r>
      <w:r>
        <w:rPr>
          <w:rFonts w:hint="eastAsia"/>
          <w:color w:val="000000" w:themeColor="text1"/>
        </w:rPr>
        <w:t>7</w:t>
      </w:r>
      <w:r>
        <w:rPr>
          <w:rFonts w:hint="eastAsia"/>
          <w:color w:val="000000" w:themeColor="text1"/>
        </w:rPr>
        <w:t>号五矿广场</w:t>
      </w:r>
      <w:r>
        <w:rPr>
          <w:rFonts w:hint="eastAsia"/>
          <w:color w:val="000000" w:themeColor="text1"/>
        </w:rPr>
        <w:t>C</w:t>
      </w:r>
      <w:r>
        <w:rPr>
          <w:rFonts w:hint="eastAsia"/>
          <w:color w:val="000000" w:themeColor="text1"/>
        </w:rPr>
        <w:t>座</w:t>
      </w:r>
      <w:r>
        <w:rPr>
          <w:rFonts w:hint="eastAsia"/>
          <w:color w:val="000000" w:themeColor="text1"/>
        </w:rPr>
        <w:t>9</w:t>
      </w:r>
      <w:r>
        <w:rPr>
          <w:rFonts w:hint="eastAsia"/>
          <w:color w:val="000000" w:themeColor="text1"/>
        </w:rPr>
        <w:t>层</w:t>
      </w:r>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rPr>
        <w:t>联系人：</w:t>
      </w:r>
      <w:r>
        <w:rPr>
          <w:rFonts w:hint="eastAsia"/>
          <w:color w:val="000000" w:themeColor="text1"/>
        </w:rPr>
        <w:t xml:space="preserve"> </w:t>
      </w:r>
      <w:r>
        <w:rPr>
          <w:rFonts w:hint="eastAsia"/>
          <w:color w:val="000000" w:themeColor="text1"/>
        </w:rPr>
        <w:t>何兆东</w:t>
      </w:r>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rPr>
        <w:t>电话：</w:t>
      </w:r>
      <w:r>
        <w:rPr>
          <w:color w:val="000000" w:themeColor="text1"/>
        </w:rPr>
        <w:t>010-598377</w:t>
      </w:r>
      <w:r>
        <w:rPr>
          <w:rFonts w:hint="eastAsia"/>
          <w:color w:val="000000" w:themeColor="text1"/>
        </w:rPr>
        <w:t>27</w:t>
      </w:r>
    </w:p>
    <w:p w:rsidR="00066166" w:rsidRDefault="00F62BD0">
      <w:pPr>
        <w:pStyle w:val="NormalJustified"/>
        <w:widowControl w:val="0"/>
        <w:spacing w:beforeLines="100" w:before="312" w:afterLines="100" w:after="312" w:line="300" w:lineRule="auto"/>
        <w:ind w:left="720"/>
        <w:rPr>
          <w:color w:val="000000" w:themeColor="text1"/>
        </w:rPr>
      </w:pPr>
      <w:r>
        <w:rPr>
          <w:rFonts w:hint="eastAsia"/>
          <w:color w:val="000000" w:themeColor="text1"/>
        </w:rPr>
        <w:t>传真：</w:t>
      </w:r>
      <w:r>
        <w:rPr>
          <w:color w:val="000000" w:themeColor="text1"/>
        </w:rPr>
        <w:t>010-59837878</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本合同项下要求的任何通知的发送可由有权接收通知的一方以书面形式予以放弃。在任何公司或单位内部未能或延迟向指定收信人递送任何通知、要求、请求、同意、批准、声明或其他通讯，并不影响相关通知、要求、请求、同意、批准、声明或其他通讯的效力。</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一方通讯地址或联络方式发生变化，应自发生变化之日起</w:t>
      </w:r>
      <w:r>
        <w:rPr>
          <w:color w:val="000000" w:themeColor="text1"/>
          <w:kern w:val="2"/>
          <w:szCs w:val="24"/>
        </w:rPr>
        <w:t>5</w:t>
      </w:r>
      <w:r>
        <w:rPr>
          <w:color w:val="000000" w:themeColor="text1"/>
          <w:kern w:val="2"/>
          <w:szCs w:val="24"/>
        </w:rPr>
        <w:t>个工作日内以书面形式通知其他方。因委托人或受益人联系地址和联络方式填写错误或未填写而无法通知的，受托人不承担因此产生的责任。如果在信托利益分配前夕或信托</w:t>
      </w:r>
      <w:r>
        <w:rPr>
          <w:rFonts w:hint="eastAsia"/>
          <w:color w:val="000000" w:themeColor="text1"/>
          <w:kern w:val="2"/>
          <w:szCs w:val="24"/>
        </w:rPr>
        <w:t>计划</w:t>
      </w:r>
      <w:r>
        <w:rPr>
          <w:color w:val="000000" w:themeColor="text1"/>
          <w:kern w:val="2"/>
          <w:szCs w:val="24"/>
        </w:rPr>
        <w:t>期限届满前夕发生变化，应在此前</w:t>
      </w:r>
      <w:r>
        <w:rPr>
          <w:color w:val="000000" w:themeColor="text1"/>
          <w:kern w:val="2"/>
          <w:szCs w:val="24"/>
        </w:rPr>
        <w:t>3</w:t>
      </w:r>
      <w:r>
        <w:rPr>
          <w:color w:val="000000" w:themeColor="text1"/>
          <w:kern w:val="2"/>
          <w:szCs w:val="24"/>
        </w:rPr>
        <w:t>个工作日前以书面形式通知另一方。</w:t>
      </w:r>
      <w:r>
        <w:rPr>
          <w:rFonts w:hint="eastAsia"/>
          <w:color w:val="000000" w:themeColor="text1"/>
          <w:kern w:val="2"/>
          <w:szCs w:val="24"/>
        </w:rPr>
        <w:t>发生变动的一方（以下简称“变动一方”），未将有关变化及时通知对方，除非法律另行规定，变动一方应对由此而造成的影响和损失负责。因委托人和受益人未及时通知受托人而导致的损失，由委托人和受益人自行承担，受托人不承担责任。</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17" w:name="_Toc164487878"/>
      <w:bookmarkStart w:id="318" w:name="OLE_LINK96"/>
      <w:bookmarkStart w:id="319" w:name="OLE_LINK95"/>
      <w:r>
        <w:rPr>
          <w:rFonts w:ascii="Times New Roman" w:eastAsia="宋体" w:hAnsi="Times New Roman"/>
          <w:color w:val="000000" w:themeColor="text1"/>
          <w:sz w:val="24"/>
          <w:szCs w:val="24"/>
        </w:rPr>
        <w:t>生效</w:t>
      </w:r>
      <w:bookmarkEnd w:id="317"/>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kern w:val="2"/>
          <w:szCs w:val="24"/>
        </w:rPr>
      </w:pPr>
      <w:bookmarkStart w:id="320" w:name="_Hlk533778448"/>
      <w:r>
        <w:rPr>
          <w:rFonts w:hint="eastAsia"/>
          <w:color w:val="000000" w:themeColor="text1"/>
          <w:kern w:val="2"/>
          <w:szCs w:val="24"/>
        </w:rPr>
        <w:t>本合同（纸质版）的生效条件：</w:t>
      </w:r>
      <w:bookmarkEnd w:id="320"/>
    </w:p>
    <w:p w:rsidR="00066166" w:rsidRDefault="00F62BD0">
      <w:pPr>
        <w:pStyle w:val="NormalJustified"/>
        <w:widowControl w:val="0"/>
        <w:spacing w:beforeLines="100" w:before="312" w:afterLines="100" w:after="312" w:line="300" w:lineRule="auto"/>
        <w:ind w:left="720"/>
        <w:rPr>
          <w:color w:val="000000" w:themeColor="text1"/>
          <w:kern w:val="0"/>
        </w:rPr>
      </w:pPr>
      <w:r>
        <w:rPr>
          <w:color w:val="000000" w:themeColor="text1"/>
          <w:kern w:val="0"/>
        </w:rPr>
        <w:t>如果委托人为法人或</w:t>
      </w:r>
      <w:r>
        <w:rPr>
          <w:rFonts w:hint="eastAsia"/>
          <w:color w:val="000000" w:themeColor="text1"/>
          <w:kern w:val="0"/>
          <w:lang w:eastAsia="zh-Hans"/>
        </w:rPr>
        <w:t>非法人</w:t>
      </w:r>
      <w:r>
        <w:rPr>
          <w:color w:val="000000" w:themeColor="text1"/>
          <w:kern w:val="0"/>
        </w:rPr>
        <w:t>组织，本合同自委托人和受托人法定代表人</w:t>
      </w:r>
      <w:r>
        <w:rPr>
          <w:rFonts w:hint="eastAsia"/>
          <w:color w:val="000000" w:themeColor="text1"/>
          <w:kern w:val="0"/>
        </w:rPr>
        <w:t>/</w:t>
      </w:r>
      <w:r>
        <w:rPr>
          <w:rFonts w:hint="eastAsia"/>
          <w:color w:val="000000" w:themeColor="text1"/>
          <w:kern w:val="0"/>
        </w:rPr>
        <w:t>负责人</w:t>
      </w:r>
      <w:r>
        <w:rPr>
          <w:color w:val="000000" w:themeColor="text1"/>
          <w:kern w:val="0"/>
        </w:rPr>
        <w:t>或其授权代表签字或签章并加盖双方公章或合同专用章之日生效。如果委托人为自然人，本合同自委托人签字，受托人法定代表人或其授权代表签字或签章并加盖受托人公章或合同专用章之日生效</w:t>
      </w:r>
      <w:r>
        <w:rPr>
          <w:color w:val="000000" w:themeColor="text1"/>
        </w:rPr>
        <w:t>。</w:t>
      </w:r>
      <w:r>
        <w:rPr>
          <w:rFonts w:hint="eastAsia"/>
          <w:color w:val="000000" w:themeColor="text1"/>
          <w:kern w:val="0"/>
        </w:rPr>
        <w:t>授权代表签署本合同的应向受托人提交有权机构出具的</w:t>
      </w:r>
      <w:r>
        <w:rPr>
          <w:rFonts w:hint="eastAsia"/>
          <w:color w:val="000000" w:themeColor="text1"/>
          <w:kern w:val="0"/>
          <w:lang w:eastAsia="zh-Hans"/>
        </w:rPr>
        <w:t>合法有效</w:t>
      </w:r>
      <w:r>
        <w:rPr>
          <w:rFonts w:hint="eastAsia"/>
          <w:color w:val="000000" w:themeColor="text1"/>
          <w:kern w:val="0"/>
        </w:rPr>
        <w:t>书面授权文件。</w:t>
      </w:r>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rPr>
      </w:pPr>
      <w:r>
        <w:rPr>
          <w:rFonts w:hint="eastAsia"/>
          <w:color w:val="000000" w:themeColor="text1"/>
        </w:rPr>
        <w:t>本合同（电子版）的生效条件：</w:t>
      </w:r>
    </w:p>
    <w:p w:rsidR="00066166" w:rsidRDefault="00F62BD0">
      <w:pPr>
        <w:pStyle w:val="NormalJustified"/>
        <w:widowControl w:val="0"/>
        <w:tabs>
          <w:tab w:val="left" w:pos="720"/>
          <w:tab w:val="left" w:pos="851"/>
        </w:tabs>
        <w:spacing w:beforeLines="100" w:before="312" w:afterLines="100" w:after="312" w:line="300" w:lineRule="auto"/>
        <w:ind w:left="840"/>
        <w:rPr>
          <w:color w:val="000000" w:themeColor="text1"/>
          <w:kern w:val="2"/>
          <w:szCs w:val="24"/>
        </w:rPr>
      </w:pPr>
      <w:r>
        <w:rPr>
          <w:rFonts w:hint="eastAsia"/>
          <w:color w:val="000000" w:themeColor="text1"/>
          <w:kern w:val="2"/>
          <w:szCs w:val="24"/>
        </w:rPr>
        <w:t>若委托人在受托人官方网站、</w:t>
      </w:r>
      <w:r>
        <w:rPr>
          <w:rFonts w:hint="eastAsia"/>
          <w:color w:val="000000" w:themeColor="text1"/>
          <w:kern w:val="2"/>
          <w:szCs w:val="24"/>
        </w:rPr>
        <w:t>A</w:t>
      </w:r>
      <w:r>
        <w:rPr>
          <w:color w:val="000000" w:themeColor="text1"/>
          <w:kern w:val="2"/>
          <w:szCs w:val="24"/>
        </w:rPr>
        <w:t>PP</w:t>
      </w:r>
      <w:r>
        <w:rPr>
          <w:rFonts w:hint="eastAsia"/>
          <w:color w:val="000000" w:themeColor="text1"/>
          <w:kern w:val="2"/>
          <w:szCs w:val="24"/>
        </w:rPr>
        <w:t>或其他经受托人认可的电子化渠道签署本合同的，则需委托人参与签署的</w:t>
      </w:r>
      <w:r>
        <w:rPr>
          <w:color w:val="000000" w:themeColor="text1"/>
          <w:kern w:val="2"/>
          <w:szCs w:val="24"/>
        </w:rPr>
        <w:t>本合同</w:t>
      </w:r>
      <w:r>
        <w:rPr>
          <w:rFonts w:hint="eastAsia"/>
          <w:color w:val="000000" w:themeColor="text1"/>
          <w:kern w:val="2"/>
          <w:szCs w:val="24"/>
        </w:rPr>
        <w:t>（电子版）</w:t>
      </w:r>
      <w:r>
        <w:rPr>
          <w:color w:val="000000" w:themeColor="text1"/>
          <w:kern w:val="2"/>
          <w:szCs w:val="24"/>
        </w:rPr>
        <w:t>自</w:t>
      </w:r>
      <w:r>
        <w:rPr>
          <w:rFonts w:hint="eastAsia"/>
          <w:color w:val="000000" w:themeColor="text1"/>
          <w:kern w:val="2"/>
          <w:szCs w:val="24"/>
        </w:rPr>
        <w:t>同时</w:t>
      </w:r>
      <w:r>
        <w:rPr>
          <w:color w:val="000000" w:themeColor="text1"/>
          <w:kern w:val="2"/>
          <w:szCs w:val="24"/>
        </w:rPr>
        <w:t>满足如下条件时生效</w:t>
      </w:r>
      <w:r>
        <w:rPr>
          <w:rFonts w:hint="eastAsia"/>
          <w:color w:val="000000" w:themeColor="text1"/>
          <w:kern w:val="2"/>
          <w:szCs w:val="24"/>
        </w:rPr>
        <w:t>：</w:t>
      </w:r>
    </w:p>
    <w:p w:rsidR="00066166" w:rsidRDefault="00F62BD0">
      <w:pPr>
        <w:pStyle w:val="NormalJustified"/>
        <w:numPr>
          <w:ilvl w:val="0"/>
          <w:numId w:val="40"/>
        </w:numPr>
        <w:spacing w:beforeLines="100" w:before="312" w:afterLines="100" w:after="312" w:line="360" w:lineRule="auto"/>
        <w:ind w:left="1260"/>
        <w:rPr>
          <w:color w:val="000000" w:themeColor="text1"/>
          <w:kern w:val="0"/>
        </w:rPr>
      </w:pPr>
      <w:r>
        <w:rPr>
          <w:rFonts w:hint="eastAsia"/>
          <w:color w:val="000000" w:themeColor="text1"/>
          <w:kern w:val="0"/>
        </w:rPr>
        <w:t>委托人通过受托人官方网站、</w:t>
      </w:r>
      <w:r>
        <w:rPr>
          <w:rFonts w:hint="eastAsia"/>
          <w:color w:val="000000" w:themeColor="text1"/>
          <w:kern w:val="0"/>
        </w:rPr>
        <w:t>A</w:t>
      </w:r>
      <w:r>
        <w:rPr>
          <w:color w:val="000000" w:themeColor="text1"/>
          <w:kern w:val="0"/>
        </w:rPr>
        <w:t>PP</w:t>
      </w:r>
      <w:r>
        <w:rPr>
          <w:rFonts w:hint="eastAsia"/>
          <w:color w:val="000000" w:themeColor="text1"/>
          <w:kern w:val="0"/>
        </w:rPr>
        <w:t>或其他经受托人认可的电子化渠道（包括但不限于网上银行、手机银行、</w:t>
      </w:r>
      <w:r>
        <w:rPr>
          <w:rFonts w:hint="eastAsia"/>
          <w:color w:val="000000" w:themeColor="text1"/>
          <w:kern w:val="0"/>
        </w:rPr>
        <w:t>A</w:t>
      </w:r>
      <w:r>
        <w:rPr>
          <w:color w:val="000000" w:themeColor="text1"/>
          <w:kern w:val="0"/>
        </w:rPr>
        <w:t>PP</w:t>
      </w:r>
      <w:r>
        <w:rPr>
          <w:rFonts w:hint="eastAsia"/>
          <w:color w:val="000000" w:themeColor="text1"/>
          <w:kern w:val="0"/>
        </w:rPr>
        <w:t>或其他经受托人认可的电子化渠道等方式）以电子化方式确认或签署本合同。上述“确认或签署”包括但不限于电子签名、数字证书、密码、点击确认等形式。</w:t>
      </w:r>
    </w:p>
    <w:p w:rsidR="00066166" w:rsidRDefault="00F62BD0">
      <w:pPr>
        <w:pStyle w:val="NormalJustified"/>
        <w:numPr>
          <w:ilvl w:val="0"/>
          <w:numId w:val="40"/>
        </w:numPr>
        <w:spacing w:beforeLines="100" w:before="312" w:afterLines="100" w:after="312" w:line="360" w:lineRule="auto"/>
        <w:ind w:left="1260"/>
        <w:rPr>
          <w:color w:val="000000" w:themeColor="text1"/>
          <w:kern w:val="0"/>
        </w:rPr>
      </w:pPr>
      <w:r>
        <w:rPr>
          <w:rFonts w:hint="eastAsia"/>
          <w:color w:val="000000" w:themeColor="text1"/>
          <w:kern w:val="0"/>
        </w:rPr>
        <w:t>受托人在本合同上加盖公章或合同专用章（包括电子印鉴）或电子渠道界面提示交易成功或受托人确认本合同签署成功（具体以受托人确认为准）。</w:t>
      </w:r>
    </w:p>
    <w:p w:rsidR="00066166" w:rsidRDefault="00F62BD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为避免歧义，本合同电子版与纸质版具有同等法律效力，任一形式版本签署生效均视为本合同签署生效，并对签署方产生法律约束力。</w:t>
      </w:r>
      <w:r>
        <w:rPr>
          <w:rFonts w:hint="eastAsia"/>
          <w:color w:val="000000" w:themeColor="text1"/>
        </w:rPr>
        <w:t>本合同（电子版）以受托人生成和存储的版本为准，委托人有权在信托计划存续期间查阅与受托人签署的本合同及其他相关协议文本。委托人理解，查阅文本时可能会出现文档乱码、空白、错误等情况。文本具体内容均应以受托人系统生成并存档的电子信息记录记载为准。</w:t>
      </w:r>
      <w:bookmarkEnd w:id="318"/>
      <w:bookmarkEnd w:id="319"/>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1" w:name="_Toc164487879"/>
      <w:r>
        <w:rPr>
          <w:rFonts w:ascii="Times New Roman" w:eastAsia="宋体" w:hAnsi="Times New Roman"/>
          <w:color w:val="000000" w:themeColor="text1"/>
          <w:sz w:val="24"/>
          <w:szCs w:val="24"/>
        </w:rPr>
        <w:t>可分割性</w:t>
      </w:r>
      <w:bookmarkEnd w:id="321"/>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本合同的各部分应是可分割的。如果本合同中任何条款、承诺、条件或规定由于无论何种原因成为不合法的、无效的或不可申请执行的，该等不合法、无效或不可申请执行并不影响本合同的其他部分，本合同所有其他部分仍应是有效的、可申请执行的，并具有充分效力，如同并未包含任何不合法的、无效的或不可申请执行的内容一样。</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2" w:name="_Toc164487880"/>
      <w:r>
        <w:rPr>
          <w:rFonts w:ascii="Times New Roman" w:eastAsia="宋体" w:hAnsi="Times New Roman"/>
          <w:color w:val="000000" w:themeColor="text1"/>
          <w:sz w:val="24"/>
          <w:szCs w:val="24"/>
        </w:rPr>
        <w:t>修改</w:t>
      </w:r>
      <w:bookmarkEnd w:id="322"/>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对本合同的任何修改须以书面形式并经各方或其授权代表正式签署始得生效。修改应包括任何修改、补充、删减或取代。本合同的任何修改构成本合同不可分割的一部分。委托人、受托人不得通过签订补充协议、修改合同等方式约定保证</w:t>
      </w:r>
      <w:r>
        <w:rPr>
          <w:color w:val="000000" w:themeColor="text1"/>
        </w:rPr>
        <w:t>信托财产的收益、承担投资损失，或排除委托人自行承担投资风险。</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3" w:name="_Toc164487881"/>
      <w:r>
        <w:rPr>
          <w:rFonts w:ascii="Times New Roman" w:eastAsia="宋体" w:hAnsi="Times New Roman"/>
          <w:color w:val="000000" w:themeColor="text1"/>
          <w:sz w:val="24"/>
          <w:szCs w:val="24"/>
        </w:rPr>
        <w:t>弃权</w:t>
      </w:r>
      <w:bookmarkEnd w:id="323"/>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除非经明确的书面弃权或更改，本合同项下双方的权利不能被放弃或更改。任何一方未能或延迟行使任何权利，都不应视为对该权利或任何其他权利的放弃和更改。行使任何权利时有瑕疵或对任何权利的部分行使并不妨碍对该权利以及任何其他权利的行使或进一步行使。任何一方的行为、实施过程或谈判都不会以任何形式妨碍该方行使任何此等权利，亦不构成该等权利的中断或变更。</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4" w:name="_Toc164487882"/>
      <w:r>
        <w:rPr>
          <w:rFonts w:ascii="Times New Roman" w:eastAsia="宋体" w:hAnsi="Times New Roman" w:hint="eastAsia"/>
          <w:sz w:val="24"/>
          <w:szCs w:val="24"/>
        </w:rPr>
        <w:t>不可抗力</w:t>
      </w:r>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kern w:val="2"/>
          <w:szCs w:val="24"/>
        </w:rPr>
      </w:pPr>
      <w:r>
        <w:rPr>
          <w:color w:val="000000"/>
        </w:rPr>
        <w:t>“</w:t>
      </w:r>
      <w:r>
        <w:rPr>
          <w:rFonts w:hint="eastAsia"/>
          <w:color w:val="000000"/>
        </w:rPr>
        <w:t>不可抗力</w:t>
      </w:r>
      <w:r>
        <w:rPr>
          <w:color w:val="000000"/>
        </w:rPr>
        <w:t>”</w:t>
      </w:r>
      <w:r>
        <w:rPr>
          <w:rFonts w:hint="eastAsia"/>
          <w:color w:val="000000"/>
        </w:rPr>
        <w:t>是指本合同各方不能预见、不能避免且不能克服的事件，该事件妨碍、影响或延误任何一方根据本合同履行其全部或部分义务。该事件包括但不限于地震、台风、洪水、火灾、重大疫情、其他自然灾害、战争、政变、政府行为、动乱、罢工</w:t>
      </w:r>
      <w:r>
        <w:rPr>
          <w:rFonts w:hint="eastAsia"/>
          <w:color w:val="000000" w:themeColor="text1"/>
        </w:rPr>
        <w:t>、停电、通讯或网络故障、电脑系统故障、证券市场关闭</w:t>
      </w:r>
      <w:r>
        <w:rPr>
          <w:rFonts w:hint="eastAsia"/>
          <w:color w:val="000000"/>
        </w:rPr>
        <w:t>或其他类似事件，以及新法律法规或国家政策颁布或对原法律法规或国家政策的修改等因素。</w:t>
      </w:r>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kern w:val="2"/>
          <w:szCs w:val="24"/>
        </w:rPr>
      </w:pPr>
      <w:r>
        <w:rPr>
          <w:rFonts w:hint="eastAsia"/>
          <w:color w:val="000000"/>
        </w:rPr>
        <w:t>如发生不可抗力的事件，遭受该事件的一方应立即用可能的快捷方式通知对方，并在十五日内提供证明文件说明有关事件的细节和不能履行或部分不能履行或需延迟履行本合同的原因。合同双</w:t>
      </w:r>
      <w:r>
        <w:rPr>
          <w:rFonts w:hint="eastAsia"/>
          <w:color w:val="000000"/>
        </w:rPr>
        <w:t>方应在协商一致的基础上决定是否延期履行本合同或终止本合同，并达成书面协议。</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标题</w:t>
      </w:r>
      <w:bookmarkEnd w:id="324"/>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本合同中的标题及附件之标题仅为方便而设，并不影响本合同中任何约定的含义和解释。</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5" w:name="_Toc164487883"/>
      <w:bookmarkStart w:id="326" w:name="OLE_LINK98"/>
      <w:bookmarkStart w:id="327" w:name="OLE_LINK97"/>
      <w:r>
        <w:rPr>
          <w:rFonts w:ascii="Times New Roman" w:eastAsia="宋体" w:hAnsi="Times New Roman"/>
          <w:color w:val="000000" w:themeColor="text1"/>
          <w:sz w:val="24"/>
          <w:szCs w:val="24"/>
        </w:rPr>
        <w:t>附件</w:t>
      </w:r>
      <w:bookmarkEnd w:id="325"/>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本合同附件包括：</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Pr>
          <w:rFonts w:hint="eastAsia"/>
          <w:color w:val="000000" w:themeColor="text1"/>
          <w:kern w:val="2"/>
          <w:szCs w:val="24"/>
        </w:rPr>
        <w:t>建盈稳冀</w:t>
      </w:r>
      <w:r>
        <w:rPr>
          <w:rFonts w:hint="eastAsia"/>
          <w:color w:val="000000" w:themeColor="text1"/>
          <w:kern w:val="2"/>
          <w:szCs w:val="24"/>
        </w:rPr>
        <w:t>2</w:t>
      </w:r>
      <w:r>
        <w:rPr>
          <w:rFonts w:hint="eastAsia"/>
          <w:color w:val="000000" w:themeColor="text1"/>
          <w:kern w:val="2"/>
          <w:szCs w:val="24"/>
        </w:rPr>
        <w:t>号</w:t>
      </w:r>
      <w:r>
        <w:rPr>
          <w:rFonts w:hint="eastAsia"/>
          <w:color w:val="000000" w:themeColor="text1"/>
          <w:kern w:val="2"/>
          <w:szCs w:val="24"/>
        </w:rPr>
        <w:t>集合资金信托计划</w:t>
      </w:r>
      <w:r>
        <w:rPr>
          <w:color w:val="000000" w:themeColor="text1"/>
          <w:kern w:val="2"/>
          <w:szCs w:val="24"/>
        </w:rPr>
        <w:t>说明书》</w:t>
      </w:r>
      <w:r>
        <w:rPr>
          <w:color w:val="000000" w:themeColor="text1"/>
        </w:rPr>
        <w:t>、《</w:t>
      </w:r>
      <w:r>
        <w:rPr>
          <w:rFonts w:hint="eastAsia"/>
          <w:color w:val="000000" w:themeColor="text1"/>
        </w:rPr>
        <w:t>五矿信托磐石系列</w:t>
      </w:r>
      <w:r>
        <w:rPr>
          <w:rFonts w:hint="eastAsia"/>
          <w:color w:val="000000" w:themeColor="text1"/>
        </w:rPr>
        <w:t>-</w:t>
      </w:r>
      <w:r>
        <w:rPr>
          <w:rFonts w:hint="eastAsia"/>
          <w:color w:val="000000" w:themeColor="text1"/>
        </w:rPr>
        <w:t>建盈稳冀</w:t>
      </w:r>
      <w:r>
        <w:rPr>
          <w:rFonts w:hint="eastAsia"/>
          <w:color w:val="000000" w:themeColor="text1"/>
        </w:rPr>
        <w:t>2</w:t>
      </w:r>
      <w:r>
        <w:rPr>
          <w:rFonts w:hint="eastAsia"/>
          <w:color w:val="000000" w:themeColor="text1"/>
        </w:rPr>
        <w:t>号</w:t>
      </w:r>
      <w:r>
        <w:rPr>
          <w:rFonts w:hint="eastAsia"/>
          <w:color w:val="000000" w:themeColor="text1"/>
        </w:rPr>
        <w:t>集合资金信托计划认购（申购）</w:t>
      </w:r>
      <w:r>
        <w:rPr>
          <w:color w:val="000000" w:themeColor="text1"/>
        </w:rPr>
        <w:t>风险申明书》。</w:t>
      </w:r>
      <w:bookmarkStart w:id="328" w:name="_Toc111808807"/>
      <w:bookmarkStart w:id="329" w:name="_Toc111808432"/>
      <w:bookmarkStart w:id="330" w:name="_Toc111808860"/>
      <w:bookmarkStart w:id="331" w:name="_Toc111808381"/>
      <w:bookmarkStart w:id="332" w:name="_Toc111808380"/>
      <w:bookmarkStart w:id="333" w:name="_Toc111808859"/>
      <w:bookmarkStart w:id="334" w:name="_Toc111808433"/>
      <w:bookmarkStart w:id="335" w:name="_Toc111808808"/>
      <w:bookmarkStart w:id="336" w:name="_Hlk47966958"/>
      <w:bookmarkEnd w:id="328"/>
      <w:bookmarkEnd w:id="329"/>
      <w:bookmarkEnd w:id="330"/>
      <w:bookmarkEnd w:id="331"/>
      <w:bookmarkEnd w:id="332"/>
      <w:bookmarkEnd w:id="333"/>
      <w:bookmarkEnd w:id="334"/>
      <w:bookmarkEnd w:id="335"/>
      <w:r>
        <w:rPr>
          <w:rFonts w:hint="eastAsia"/>
          <w:color w:val="000000" w:themeColor="text1"/>
        </w:rPr>
        <w:t>如</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Pr>
          <w:rFonts w:hint="eastAsia"/>
          <w:color w:val="000000" w:themeColor="text1"/>
          <w:kern w:val="2"/>
          <w:szCs w:val="24"/>
        </w:rPr>
        <w:t>建盈稳冀</w:t>
      </w:r>
      <w:r>
        <w:rPr>
          <w:rFonts w:hint="eastAsia"/>
          <w:color w:val="000000" w:themeColor="text1"/>
          <w:kern w:val="2"/>
          <w:szCs w:val="24"/>
        </w:rPr>
        <w:t>2</w:t>
      </w:r>
      <w:r>
        <w:rPr>
          <w:rFonts w:hint="eastAsia"/>
          <w:color w:val="000000" w:themeColor="text1"/>
          <w:kern w:val="2"/>
          <w:szCs w:val="24"/>
        </w:rPr>
        <w:t>号</w:t>
      </w:r>
      <w:r>
        <w:rPr>
          <w:rFonts w:hint="eastAsia"/>
          <w:color w:val="000000" w:themeColor="text1"/>
          <w:kern w:val="2"/>
          <w:szCs w:val="24"/>
        </w:rPr>
        <w:t>集合资金信托计划</w:t>
      </w:r>
      <w:r>
        <w:rPr>
          <w:color w:val="000000" w:themeColor="text1"/>
          <w:kern w:val="2"/>
          <w:szCs w:val="24"/>
        </w:rPr>
        <w:t>说明书》</w:t>
      </w:r>
      <w:r>
        <w:rPr>
          <w:rFonts w:hint="eastAsia"/>
          <w:color w:val="000000" w:themeColor="text1"/>
          <w:kern w:val="2"/>
          <w:szCs w:val="24"/>
        </w:rPr>
        <w:t>与本合同约定不一致的，以本合同约定为准。</w:t>
      </w:r>
      <w:bookmarkEnd w:id="336"/>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7" w:name="_Toc164487884"/>
      <w:r>
        <w:rPr>
          <w:rFonts w:ascii="Times New Roman" w:eastAsia="宋体" w:hAnsi="Times New Roman"/>
          <w:color w:val="000000" w:themeColor="text1"/>
          <w:sz w:val="24"/>
          <w:szCs w:val="24"/>
        </w:rPr>
        <w:t>文本</w:t>
      </w:r>
      <w:bookmarkEnd w:id="337"/>
    </w:p>
    <w:p w:rsidR="00066166" w:rsidRDefault="00F62BD0">
      <w:pPr>
        <w:pStyle w:val="NormalJustified"/>
        <w:widowControl w:val="0"/>
        <w:spacing w:beforeLines="100" w:before="312" w:afterLines="100" w:after="312" w:line="300" w:lineRule="auto"/>
        <w:ind w:left="720"/>
        <w:rPr>
          <w:color w:val="000000" w:themeColor="text1"/>
        </w:rPr>
      </w:pPr>
      <w:r>
        <w:rPr>
          <w:color w:val="000000" w:themeColor="text1"/>
        </w:rPr>
        <w:t>本合同正式一式</w:t>
      </w:r>
      <w:r>
        <w:rPr>
          <w:rFonts w:hint="eastAsia"/>
          <w:color w:val="000000" w:themeColor="text1"/>
        </w:rPr>
        <w:t>贰</w:t>
      </w:r>
      <w:r>
        <w:rPr>
          <w:color w:val="000000" w:themeColor="text1"/>
        </w:rPr>
        <w:t>份，委托人持有</w:t>
      </w:r>
      <w:r>
        <w:rPr>
          <w:rFonts w:hint="eastAsia"/>
          <w:color w:val="000000" w:themeColor="text1"/>
        </w:rPr>
        <w:t>壹</w:t>
      </w:r>
      <w:r>
        <w:rPr>
          <w:color w:val="000000" w:themeColor="text1"/>
        </w:rPr>
        <w:t>份，受托人</w:t>
      </w:r>
      <w:r>
        <w:rPr>
          <w:color w:val="000000" w:themeColor="text1"/>
          <w:kern w:val="2"/>
          <w:szCs w:val="24"/>
        </w:rPr>
        <w:t>持有</w:t>
      </w:r>
      <w:r>
        <w:rPr>
          <w:rFonts w:hint="eastAsia"/>
          <w:color w:val="000000" w:themeColor="text1"/>
        </w:rPr>
        <w:t>壹</w:t>
      </w:r>
      <w:r>
        <w:rPr>
          <w:color w:val="000000" w:themeColor="text1"/>
        </w:rPr>
        <w:t>份，每份具有相同法律效力。</w:t>
      </w:r>
    </w:p>
    <w:p w:rsidR="00066166" w:rsidRDefault="00F62BD0">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8" w:name="_Toc247260650"/>
      <w:bookmarkEnd w:id="338"/>
      <w:r>
        <w:rPr>
          <w:rFonts w:ascii="Times New Roman" w:eastAsia="宋体" w:hAnsi="Times New Roman"/>
          <w:color w:val="000000" w:themeColor="text1"/>
          <w:sz w:val="24"/>
          <w:szCs w:val="24"/>
        </w:rPr>
        <w:t>其他事项</w:t>
      </w:r>
      <w:bookmarkEnd w:id="326"/>
      <w:bookmarkEnd w:id="327"/>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rPr>
      </w:pPr>
      <w:r>
        <w:rPr>
          <w:rFonts w:hint="eastAsia"/>
          <w:color w:val="000000" w:themeColor="text1"/>
        </w:rPr>
        <w:t>信托经理人员名单、履历</w:t>
      </w:r>
    </w:p>
    <w:p w:rsidR="00066166" w:rsidRDefault="00F62BD0">
      <w:pPr>
        <w:pStyle w:val="NormalJustified"/>
        <w:widowControl w:val="0"/>
        <w:tabs>
          <w:tab w:val="left" w:pos="851"/>
        </w:tabs>
        <w:spacing w:beforeLines="100" w:before="312" w:afterLines="100" w:after="312" w:line="300" w:lineRule="auto"/>
        <w:ind w:left="720"/>
        <w:rPr>
          <w:color w:val="000000" w:themeColor="text1"/>
        </w:rPr>
      </w:pPr>
      <w:r>
        <w:rPr>
          <w:rFonts w:hint="eastAsia"/>
          <w:color w:val="000000" w:themeColor="text1"/>
        </w:rPr>
        <w:t>本信托计划的信托经理为：赵明明；</w:t>
      </w:r>
    </w:p>
    <w:p w:rsidR="00066166" w:rsidRDefault="00F62BD0">
      <w:pPr>
        <w:pStyle w:val="NormalJustified"/>
        <w:widowControl w:val="0"/>
        <w:tabs>
          <w:tab w:val="left" w:pos="851"/>
        </w:tabs>
        <w:spacing w:beforeLines="100" w:before="312" w:afterLines="100" w:after="312" w:line="300" w:lineRule="auto"/>
        <w:ind w:left="720"/>
        <w:rPr>
          <w:color w:val="000000" w:themeColor="text1"/>
        </w:rPr>
      </w:pPr>
      <w:r>
        <w:rPr>
          <w:rFonts w:hint="eastAsia"/>
          <w:color w:val="000000" w:themeColor="text1"/>
        </w:rPr>
        <w:t>信托经理履历：中国人民大学</w:t>
      </w:r>
      <w:r>
        <w:rPr>
          <w:rFonts w:hint="eastAsia"/>
          <w:color w:val="000000" w:themeColor="text1"/>
        </w:rPr>
        <w:t>MBA</w:t>
      </w:r>
      <w:r>
        <w:rPr>
          <w:rFonts w:hint="eastAsia"/>
          <w:color w:val="000000" w:themeColor="text1"/>
        </w:rPr>
        <w:t>。</w:t>
      </w:r>
      <w:r>
        <w:rPr>
          <w:rFonts w:hint="eastAsia"/>
          <w:color w:val="000000" w:themeColor="text1"/>
        </w:rPr>
        <w:t>2011</w:t>
      </w:r>
      <w:r>
        <w:rPr>
          <w:rFonts w:hint="eastAsia"/>
          <w:color w:val="000000" w:themeColor="text1"/>
        </w:rPr>
        <w:t>年加入五矿国际信托有限公司，主导多个大型地产、能源矿产、金融领域信托项目设计及发行。</w:t>
      </w:r>
      <w:r>
        <w:rPr>
          <w:color w:val="000000" w:themeColor="text1"/>
        </w:rPr>
        <w:t xml:space="preserve">             </w:t>
      </w:r>
    </w:p>
    <w:p w:rsidR="00066166" w:rsidRDefault="00F62BD0">
      <w:pPr>
        <w:pStyle w:val="NormalJustified"/>
        <w:widowControl w:val="0"/>
        <w:tabs>
          <w:tab w:val="left" w:pos="851"/>
        </w:tabs>
        <w:spacing w:beforeLines="100" w:before="312" w:afterLines="100" w:after="312" w:line="300" w:lineRule="auto"/>
        <w:ind w:left="720"/>
        <w:rPr>
          <w:b/>
          <w:color w:val="000000" w:themeColor="text1"/>
        </w:rPr>
      </w:pPr>
      <w:r>
        <w:rPr>
          <w:rFonts w:hint="eastAsia"/>
          <w:b/>
          <w:color w:val="000000" w:themeColor="text1"/>
        </w:rPr>
        <w:t>特别提示：受托人及本信托计划项下主要负责信托财产管理运用的证券投资信托业务人员等相关机构和人员的管理的其他信托计划的业绩并不构成本信托计划的业绩表现保证，信托计划的既往业绩并不代表将来业绩。</w:t>
      </w:r>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rPr>
      </w:pPr>
      <w:r>
        <w:rPr>
          <w:rFonts w:hint="eastAsia"/>
          <w:color w:val="000000" w:themeColor="text1"/>
        </w:rPr>
        <w:t>电子数据生成和传输及相关约定</w:t>
      </w:r>
      <w:r>
        <w:rPr>
          <w:rFonts w:hint="eastAsia"/>
          <w:szCs w:val="24"/>
        </w:rPr>
        <w:t>【电子化签约适用】</w:t>
      </w:r>
      <w:r>
        <w:rPr>
          <w:rFonts w:hint="eastAsia"/>
          <w:color w:val="000000" w:themeColor="text1"/>
        </w:rPr>
        <w:t>：</w:t>
      </w:r>
    </w:p>
    <w:p w:rsidR="00066166" w:rsidRDefault="00F62BD0">
      <w:pPr>
        <w:pStyle w:val="NormalJustified"/>
        <w:widowControl w:val="0"/>
        <w:numPr>
          <w:ilvl w:val="0"/>
          <w:numId w:val="41"/>
        </w:numPr>
        <w:spacing w:beforeLines="100" w:before="312" w:afterLines="100" w:after="312" w:line="300" w:lineRule="auto"/>
        <w:ind w:left="1260"/>
        <w:rPr>
          <w:color w:val="000000" w:themeColor="text1"/>
          <w:kern w:val="0"/>
        </w:rPr>
      </w:pPr>
      <w:r>
        <w:rPr>
          <w:rFonts w:hint="eastAsia"/>
          <w:color w:val="000000" w:themeColor="text1"/>
          <w:kern w:val="0"/>
        </w:rPr>
        <w:t>委托人</w:t>
      </w:r>
      <w:bookmarkStart w:id="339" w:name="_Hlk533775263"/>
      <w:r>
        <w:rPr>
          <w:rFonts w:hint="eastAsia"/>
          <w:color w:val="000000" w:themeColor="text1"/>
          <w:kern w:val="0"/>
        </w:rPr>
        <w:t>/</w:t>
      </w:r>
      <w:r>
        <w:rPr>
          <w:rFonts w:hint="eastAsia"/>
          <w:color w:val="000000" w:themeColor="text1"/>
          <w:kern w:val="0"/>
        </w:rPr>
        <w:t>受益人</w:t>
      </w:r>
      <w:bookmarkEnd w:id="339"/>
      <w:r>
        <w:rPr>
          <w:rFonts w:hint="eastAsia"/>
          <w:color w:val="000000" w:themeColor="text1"/>
          <w:kern w:val="0"/>
        </w:rPr>
        <w:t>知悉并确认，本信托计划项下以电子数据方式录入、填写、生成、传输的数据同样视为有效的书面形式文件，适用于信托文件项下关于书面形式提出、提交、发送、送达等形式的全部文件，信托文件及其补充协议等补充文件的签署均可通过电子形式签署完成。本合同项下电子数据指由计算机、移动通讯设备、多媒体设备或者其他信息终端及相关设备通过或按照一定的规则和程序以电子、光学、磁或者类似手段生成、发送、接收、收集、记录、存储、传输、交换、处理、所含、所附的各项信息、内容、数据。其中，通过电子邮件、电子数据交换、手机短信、电子签名、域名等形</w:t>
      </w:r>
      <w:r>
        <w:rPr>
          <w:rFonts w:hint="eastAsia"/>
          <w:color w:val="000000" w:themeColor="text1"/>
          <w:kern w:val="0"/>
        </w:rPr>
        <w:t>成或者存储在电子介质中的信息，以及存储在电子介质中的录音资料和影像资料均视为有效的电子数据。</w:t>
      </w:r>
    </w:p>
    <w:p w:rsidR="00066166" w:rsidRDefault="00F62BD0">
      <w:pPr>
        <w:pStyle w:val="NormalJustified"/>
        <w:widowControl w:val="0"/>
        <w:numPr>
          <w:ilvl w:val="0"/>
          <w:numId w:val="41"/>
        </w:numPr>
        <w:spacing w:beforeLines="100" w:before="312" w:afterLines="100" w:after="312" w:line="300" w:lineRule="auto"/>
        <w:ind w:left="1260"/>
        <w:rPr>
          <w:color w:val="000000" w:themeColor="text1"/>
          <w:kern w:val="0"/>
        </w:rPr>
      </w:pPr>
      <w:r>
        <w:rPr>
          <w:rFonts w:hint="eastAsia"/>
          <w:bCs/>
          <w:color w:val="000000" w:themeColor="text1"/>
          <w:kern w:val="0"/>
        </w:rPr>
        <w:t>本信托计划交易过程可能采取电子方式提交和传输相关数据及资料，委托人</w:t>
      </w:r>
      <w:r>
        <w:rPr>
          <w:rFonts w:hint="eastAsia"/>
          <w:bCs/>
          <w:color w:val="000000" w:themeColor="text1"/>
          <w:kern w:val="0"/>
        </w:rPr>
        <w:t>/</w:t>
      </w:r>
      <w:r>
        <w:rPr>
          <w:rFonts w:hint="eastAsia"/>
          <w:bCs/>
          <w:color w:val="000000" w:themeColor="text1"/>
          <w:kern w:val="0"/>
        </w:rPr>
        <w:t>受益人在录入、填写、生成、发送该等数据及资料时应确保其所提供、提交数据及资料的真实、准确、完整、有效且无瑕疵。信托文件中所述提供、提交等表述均包含以纸质和</w:t>
      </w:r>
      <w:r>
        <w:rPr>
          <w:rFonts w:hint="eastAsia"/>
          <w:bCs/>
          <w:color w:val="000000" w:themeColor="text1"/>
          <w:kern w:val="0"/>
        </w:rPr>
        <w:t>/</w:t>
      </w:r>
      <w:r>
        <w:rPr>
          <w:rFonts w:hint="eastAsia"/>
          <w:bCs/>
          <w:color w:val="000000" w:themeColor="text1"/>
          <w:kern w:val="0"/>
        </w:rPr>
        <w:t>或电子形式向接收方提供、提交相关数据或资料。</w:t>
      </w:r>
    </w:p>
    <w:p w:rsidR="00066166" w:rsidRDefault="00F62BD0">
      <w:pPr>
        <w:pStyle w:val="NormalJustified"/>
        <w:widowControl w:val="0"/>
        <w:numPr>
          <w:ilvl w:val="0"/>
          <w:numId w:val="41"/>
        </w:numPr>
        <w:spacing w:beforeLines="100" w:before="312" w:afterLines="100" w:after="312" w:line="300" w:lineRule="auto"/>
        <w:ind w:left="1260"/>
        <w:rPr>
          <w:color w:val="000000" w:themeColor="text1"/>
          <w:kern w:val="0"/>
        </w:rPr>
      </w:pPr>
      <w:r>
        <w:rPr>
          <w:rFonts w:hint="eastAsia"/>
          <w:color w:val="000000" w:themeColor="text1"/>
          <w:kern w:val="0"/>
        </w:rPr>
        <w:t>委托人通过电子化方式确认或签署本合同，是委托人本人的真实意愿，委托人</w:t>
      </w:r>
      <w:r>
        <w:rPr>
          <w:rFonts w:hint="eastAsia"/>
          <w:color w:val="000000" w:themeColor="text1"/>
          <w:kern w:val="0"/>
        </w:rPr>
        <w:t>/</w:t>
      </w:r>
      <w:r>
        <w:rPr>
          <w:rFonts w:hint="eastAsia"/>
          <w:color w:val="000000" w:themeColor="text1"/>
          <w:kern w:val="0"/>
        </w:rPr>
        <w:t>受益人已充分理解信托文件项下所有内容，并同意承担全部电子交易、电子签署风险。委</w:t>
      </w:r>
      <w:r>
        <w:rPr>
          <w:rFonts w:hint="eastAsia"/>
          <w:color w:val="000000" w:themeColor="text1"/>
          <w:kern w:val="0"/>
        </w:rPr>
        <w:t>托人</w:t>
      </w:r>
      <w:r>
        <w:rPr>
          <w:rFonts w:hint="eastAsia"/>
          <w:color w:val="000000" w:themeColor="text1"/>
          <w:kern w:val="0"/>
        </w:rPr>
        <w:t>/</w:t>
      </w:r>
      <w:r>
        <w:rPr>
          <w:rFonts w:hint="eastAsia"/>
          <w:color w:val="000000" w:themeColor="text1"/>
          <w:kern w:val="0"/>
        </w:rPr>
        <w:t>受益人同意通过账号密码、验证码及其他身份验证方式验证后填写、录入的信息、信托文件及其他法律文件，委托人</w:t>
      </w:r>
      <w:r>
        <w:rPr>
          <w:rFonts w:hint="eastAsia"/>
          <w:color w:val="000000" w:themeColor="text1"/>
          <w:kern w:val="0"/>
        </w:rPr>
        <w:t>/</w:t>
      </w:r>
      <w:r>
        <w:rPr>
          <w:rFonts w:hint="eastAsia"/>
          <w:color w:val="000000" w:themeColor="text1"/>
          <w:kern w:val="0"/>
        </w:rPr>
        <w:t>受益人与受托人面签信息、信托文件及其他法律文件具有同等法律效力。委托人</w:t>
      </w:r>
      <w:r>
        <w:rPr>
          <w:rFonts w:hint="eastAsia"/>
          <w:color w:val="000000" w:themeColor="text1"/>
          <w:kern w:val="0"/>
        </w:rPr>
        <w:t>/</w:t>
      </w:r>
      <w:r>
        <w:rPr>
          <w:rFonts w:hint="eastAsia"/>
          <w:color w:val="000000" w:themeColor="text1"/>
          <w:kern w:val="0"/>
        </w:rPr>
        <w:t>受益人确认其已经有效签署，并充分理解和认可《电子交易服务协议》的全部约定和内容。</w:t>
      </w:r>
    </w:p>
    <w:p w:rsidR="00066166" w:rsidRDefault="00F62BD0">
      <w:pPr>
        <w:pStyle w:val="NormalJustified"/>
        <w:widowControl w:val="0"/>
        <w:numPr>
          <w:ilvl w:val="2"/>
          <w:numId w:val="39"/>
        </w:numPr>
        <w:tabs>
          <w:tab w:val="left" w:pos="1275"/>
        </w:tabs>
        <w:spacing w:beforeLines="100" w:before="312" w:afterLines="100" w:after="312" w:line="300" w:lineRule="auto"/>
        <w:ind w:left="720" w:hanging="720"/>
        <w:rPr>
          <w:color w:val="000000" w:themeColor="text1"/>
        </w:rPr>
      </w:pPr>
      <w:r>
        <w:rPr>
          <w:rFonts w:hint="eastAsia"/>
          <w:color w:val="000000" w:themeColor="text1"/>
        </w:rPr>
        <w:t>合同的解除</w:t>
      </w:r>
    </w:p>
    <w:p w:rsidR="00066166" w:rsidRDefault="00F62BD0">
      <w:pPr>
        <w:pStyle w:val="NormalJustified"/>
        <w:widowControl w:val="0"/>
        <w:numPr>
          <w:ilvl w:val="0"/>
          <w:numId w:val="42"/>
        </w:numPr>
        <w:spacing w:beforeLines="100" w:before="312" w:afterLines="100" w:after="312" w:line="300" w:lineRule="auto"/>
        <w:ind w:left="1265"/>
        <w:rPr>
          <w:color w:val="000000" w:themeColor="text1"/>
          <w:kern w:val="0"/>
        </w:rPr>
      </w:pPr>
      <w:r>
        <w:rPr>
          <w:rFonts w:hint="eastAsia"/>
          <w:color w:val="000000" w:themeColor="text1"/>
          <w:kern w:val="0"/>
        </w:rPr>
        <w:t>委托人违约的，受托人有权解除本合同，并要求委托人承担违约责任；</w:t>
      </w:r>
    </w:p>
    <w:p w:rsidR="00066166" w:rsidRDefault="00F62BD0">
      <w:pPr>
        <w:pStyle w:val="NormalJustified"/>
        <w:widowControl w:val="0"/>
        <w:numPr>
          <w:ilvl w:val="0"/>
          <w:numId w:val="42"/>
        </w:numPr>
        <w:spacing w:beforeLines="100" w:before="312" w:afterLines="100" w:after="312" w:line="300" w:lineRule="auto"/>
        <w:ind w:left="1265"/>
        <w:rPr>
          <w:color w:val="000000" w:themeColor="text1"/>
          <w:kern w:val="0"/>
        </w:rPr>
      </w:pPr>
      <w:r>
        <w:rPr>
          <w:rFonts w:hint="eastAsia"/>
          <w:color w:val="000000" w:themeColor="text1"/>
          <w:kern w:val="0"/>
        </w:rPr>
        <w:t>经双方协商一致，可解除本合同；</w:t>
      </w:r>
    </w:p>
    <w:p w:rsidR="00066166" w:rsidRDefault="00F62BD0">
      <w:pPr>
        <w:pStyle w:val="NormalJustified"/>
        <w:widowControl w:val="0"/>
        <w:numPr>
          <w:ilvl w:val="0"/>
          <w:numId w:val="42"/>
        </w:numPr>
        <w:spacing w:beforeLines="100" w:before="312" w:afterLines="100" w:after="312" w:line="300" w:lineRule="auto"/>
        <w:ind w:left="1265"/>
        <w:rPr>
          <w:color w:val="000000" w:themeColor="text1"/>
          <w:kern w:val="0"/>
        </w:rPr>
      </w:pPr>
      <w:r>
        <w:rPr>
          <w:rFonts w:hint="eastAsia"/>
          <w:color w:val="000000" w:themeColor="text1"/>
          <w:kern w:val="0"/>
        </w:rPr>
        <w:t>若截至信托计划成立日或认购（申购）条款中载明的到账截止日期，募集账户或信托专户尚未收到等额于该条款载明的认购（申购）资金金额的款项，本合同自</w:t>
      </w:r>
      <w:r>
        <w:rPr>
          <w:rFonts w:hint="eastAsia"/>
          <w:color w:val="000000" w:themeColor="text1"/>
          <w:kern w:val="0"/>
        </w:rPr>
        <w:t>动解除，且受托人、委托人均不承担任何责任，但委托人存在过错的，应赔偿受托人或信托计划因此受到的损失。</w:t>
      </w:r>
    </w:p>
    <w:p w:rsidR="00066166" w:rsidRDefault="00F62BD0">
      <w:pPr>
        <w:pStyle w:val="NormalJustified"/>
        <w:widowControl w:val="0"/>
        <w:numPr>
          <w:ilvl w:val="0"/>
          <w:numId w:val="42"/>
        </w:numPr>
        <w:spacing w:beforeLines="100" w:before="312" w:afterLines="100" w:after="312" w:line="300" w:lineRule="auto"/>
        <w:ind w:left="1265"/>
        <w:rPr>
          <w:color w:val="000000" w:themeColor="text1"/>
          <w:kern w:val="0"/>
        </w:rPr>
      </w:pPr>
      <w:r>
        <w:rPr>
          <w:rFonts w:hint="eastAsia"/>
          <w:color w:val="000000" w:themeColor="text1"/>
          <w:kern w:val="0"/>
        </w:rPr>
        <w:t>若截至开放日（含当日）前或申购申请表中载明的到账截止日期，募集账户或信托专户尚未收到等额于申购申请表载明的认购（申购）资金金额的款项，该申购申请书自动解除，且受托人、委托人均不承担任何责任，但委托人存在过错的，应赔偿受托人或信托计划因此受到的损失。</w:t>
      </w:r>
    </w:p>
    <w:p w:rsidR="00066166" w:rsidRDefault="00066166">
      <w:pPr>
        <w:pStyle w:val="NormalJustified"/>
        <w:widowControl w:val="0"/>
        <w:spacing w:beforeLines="100" w:before="312" w:afterLines="100" w:after="312" w:line="300" w:lineRule="auto"/>
        <w:ind w:left="1265"/>
        <w:rPr>
          <w:color w:val="000000" w:themeColor="text1"/>
          <w:kern w:val="0"/>
        </w:rPr>
      </w:pPr>
    </w:p>
    <w:p w:rsidR="00066166" w:rsidRDefault="00F62BD0">
      <w:pPr>
        <w:pStyle w:val="NormalJustified"/>
        <w:widowControl w:val="0"/>
        <w:tabs>
          <w:tab w:val="left" w:pos="851"/>
        </w:tabs>
        <w:spacing w:beforeLines="100" w:before="312" w:afterLines="100" w:after="312" w:line="300" w:lineRule="auto"/>
        <w:ind w:left="720"/>
        <w:rPr>
          <w:b/>
          <w:color w:val="000000" w:themeColor="text1"/>
        </w:rPr>
      </w:pPr>
      <w:r>
        <w:rPr>
          <w:rFonts w:hint="eastAsia"/>
          <w:b/>
          <w:color w:val="000000" w:themeColor="text1"/>
        </w:rPr>
        <w:t>特别地，若委托人申请解除本合同</w:t>
      </w:r>
      <w:bookmarkStart w:id="340" w:name="_Hlk47967005"/>
      <w:r>
        <w:rPr>
          <w:rFonts w:hint="eastAsia"/>
          <w:b/>
          <w:color w:val="000000" w:themeColor="text1"/>
        </w:rPr>
        <w:t>或申购申请</w:t>
      </w:r>
      <w:bookmarkEnd w:id="340"/>
      <w:r>
        <w:rPr>
          <w:rFonts w:hint="eastAsia"/>
          <w:b/>
          <w:color w:val="000000" w:themeColor="text1"/>
        </w:rPr>
        <w:t>表的，</w:t>
      </w:r>
      <w:bookmarkStart w:id="341" w:name="_Hlk47967012"/>
      <w:r>
        <w:rPr>
          <w:rFonts w:hint="eastAsia"/>
          <w:b/>
          <w:color w:val="000000" w:themeColor="text1"/>
        </w:rPr>
        <w:t>委托人应取得受托人同意，并</w:t>
      </w:r>
      <w:bookmarkEnd w:id="341"/>
      <w:r>
        <w:rPr>
          <w:rFonts w:hint="eastAsia"/>
          <w:b/>
          <w:color w:val="000000" w:themeColor="text1"/>
        </w:rPr>
        <w:t>与受托人签署（包括电子形式确认或签署，下同）《</w:t>
      </w:r>
      <w:bookmarkStart w:id="342" w:name="_Hlk47967141"/>
      <w:r>
        <w:rPr>
          <w:rFonts w:hint="eastAsia"/>
          <w:b/>
          <w:color w:val="000000" w:themeColor="text1"/>
        </w:rPr>
        <w:t>撤销确认书</w:t>
      </w:r>
      <w:bookmarkEnd w:id="342"/>
      <w:r>
        <w:rPr>
          <w:rFonts w:hint="eastAsia"/>
          <w:b/>
          <w:color w:val="000000" w:themeColor="text1"/>
        </w:rPr>
        <w:t>》（自动解除情形无需签署此协议</w:t>
      </w:r>
      <w:r>
        <w:rPr>
          <w:rFonts w:hint="eastAsia"/>
          <w:b/>
          <w:color w:val="000000" w:themeColor="text1"/>
        </w:rPr>
        <w:t>）和《申请退款函》，受托人将按照《申请退款函》的约定退还委托人交付的认购（申购）资金和认购（申购）费（如有）。若委托人未予签署上述《撤销确认书》和《申请退款函》的，则委托人无法取得该等认购（申购）款项，产生的全部损失均由委托人、受益人自行承担。若委托人申请解除本合同或符合本合同自动解除情形的，自本合同签署后</w:t>
      </w:r>
      <w:r>
        <w:rPr>
          <w:rFonts w:hint="eastAsia"/>
          <w:b/>
          <w:color w:val="000000" w:themeColor="text1"/>
        </w:rPr>
        <w:t>20</w:t>
      </w:r>
      <w:r>
        <w:rPr>
          <w:rFonts w:hint="eastAsia"/>
          <w:b/>
          <w:color w:val="000000" w:themeColor="text1"/>
        </w:rPr>
        <w:t>个工作日内《撤销确认书》（如需）和《申请退款函》未全部签署生效的，则受托人有权将委托人交付的认购（申购）资金和认购（申购）费（如有）按原路径返还至认购（申购）资金和认购（申购）费（或有）划出账户。自本</w:t>
      </w:r>
      <w:r>
        <w:rPr>
          <w:rFonts w:hint="eastAsia"/>
          <w:b/>
          <w:color w:val="000000" w:themeColor="text1"/>
        </w:rPr>
        <w:t>合同解除之日（含该日）至认购（申购）资金和认购（申购）费（如有）返还之日（含该日）期间不计收任何利息、资金占用成本或收益款项，产生的损失由委托人、受益人自行承担。</w:t>
      </w:r>
    </w:p>
    <w:p w:rsidR="00066166" w:rsidRDefault="00F62BD0">
      <w:pPr>
        <w:pStyle w:val="NormalJustified"/>
        <w:widowControl w:val="0"/>
        <w:tabs>
          <w:tab w:val="left" w:pos="851"/>
        </w:tabs>
        <w:spacing w:beforeLines="100" w:before="312" w:afterLines="100" w:after="312" w:line="300" w:lineRule="auto"/>
        <w:ind w:left="720"/>
        <w:rPr>
          <w:b/>
          <w:color w:val="000000" w:themeColor="text1"/>
        </w:rPr>
      </w:pPr>
      <w:r>
        <w:rPr>
          <w:rFonts w:hint="eastAsia"/>
          <w:b/>
          <w:kern w:val="2"/>
          <w:szCs w:val="24"/>
        </w:rPr>
        <w:t>[</w:t>
      </w:r>
      <w:r>
        <w:rPr>
          <w:b/>
          <w:kern w:val="2"/>
          <w:szCs w:val="24"/>
        </w:rPr>
        <w:t>本合同一经签署即表明：</w:t>
      </w:r>
      <w:r>
        <w:rPr>
          <w:rFonts w:hint="eastAsia"/>
          <w:b/>
          <w:kern w:val="2"/>
          <w:szCs w:val="24"/>
        </w:rPr>
        <w:t>信托当事人</w:t>
      </w:r>
      <w:r>
        <w:rPr>
          <w:b/>
          <w:kern w:val="2"/>
          <w:szCs w:val="24"/>
        </w:rPr>
        <w:t>已经完整、细致地阅读了本合同，</w:t>
      </w:r>
      <w:r>
        <w:rPr>
          <w:rFonts w:hint="eastAsia"/>
          <w:b/>
          <w:kern w:val="2"/>
          <w:szCs w:val="24"/>
        </w:rPr>
        <w:t>并已特别注意字体加黑加粗的内容，</w:t>
      </w:r>
      <w:r>
        <w:rPr>
          <w:b/>
          <w:kern w:val="2"/>
          <w:szCs w:val="24"/>
        </w:rPr>
        <w:t>对合同所有条款不存在任何疑义和歧义，并对</w:t>
      </w:r>
      <w:r>
        <w:rPr>
          <w:rFonts w:hint="eastAsia"/>
          <w:b/>
          <w:kern w:val="2"/>
          <w:szCs w:val="24"/>
        </w:rPr>
        <w:t>信托当事人</w:t>
      </w:r>
      <w:r>
        <w:rPr>
          <w:b/>
          <w:kern w:val="2"/>
          <w:szCs w:val="24"/>
        </w:rPr>
        <w:t>有关权利、义务和责任有准确无误地理解。</w:t>
      </w:r>
      <w:r>
        <w:rPr>
          <w:rFonts w:hint="eastAsia"/>
          <w:b/>
          <w:kern w:val="2"/>
          <w:szCs w:val="24"/>
        </w:rPr>
        <w:t>在签署本合同时，受托人已应委托人</w:t>
      </w:r>
      <w:r>
        <w:rPr>
          <w:rFonts w:hint="eastAsia"/>
          <w:b/>
          <w:kern w:val="2"/>
          <w:szCs w:val="24"/>
        </w:rPr>
        <w:t>/</w:t>
      </w:r>
      <w:r>
        <w:rPr>
          <w:rFonts w:hint="eastAsia"/>
          <w:b/>
          <w:kern w:val="2"/>
          <w:szCs w:val="24"/>
        </w:rPr>
        <w:t>受益人要求就本合同做了相应的条款说明。各当事人对本合同的所有条款的含义及相应的法律后果已经全部通晓并充分理解。委托人</w:t>
      </w:r>
      <w:r>
        <w:rPr>
          <w:rFonts w:hint="eastAsia"/>
          <w:b/>
          <w:kern w:val="2"/>
          <w:szCs w:val="24"/>
        </w:rPr>
        <w:t>/</w:t>
      </w:r>
      <w:r>
        <w:rPr>
          <w:rFonts w:hint="eastAsia"/>
          <w:b/>
          <w:kern w:val="2"/>
          <w:szCs w:val="24"/>
        </w:rPr>
        <w:t>受益人不得以受托人未履行提示和说明义务导致重大误解、显失公平等任何理由对本合同任何条款提出异议。</w:t>
      </w:r>
      <w:r>
        <w:rPr>
          <w:b/>
          <w:kern w:val="2"/>
          <w:szCs w:val="24"/>
        </w:rPr>
        <w:t>]</w:t>
      </w:r>
    </w:p>
    <w:p w:rsidR="00066166" w:rsidRDefault="00066166">
      <w:pPr>
        <w:jc w:val="center"/>
        <w:rPr>
          <w:rFonts w:ascii="汉仪大黑简" w:eastAsia="汉仪大黑简"/>
          <w:color w:val="000000" w:themeColor="text1"/>
          <w:szCs w:val="21"/>
        </w:rPr>
      </w:pPr>
    </w:p>
    <w:p w:rsidR="00066166" w:rsidRDefault="00F62BD0">
      <w:pPr>
        <w:jc w:val="center"/>
        <w:rPr>
          <w:rFonts w:ascii="汉仪大黑简" w:eastAsia="汉仪大黑简"/>
          <w:color w:val="000000" w:themeColor="text1"/>
          <w:szCs w:val="21"/>
        </w:rPr>
      </w:pPr>
      <w:r>
        <w:rPr>
          <w:rFonts w:ascii="汉仪大黑简" w:eastAsia="汉仪大黑简" w:hint="eastAsia"/>
          <w:color w:val="000000" w:themeColor="text1"/>
          <w:szCs w:val="21"/>
        </w:rPr>
        <w:t>五矿信托</w:t>
      </w:r>
      <w:r>
        <w:rPr>
          <w:rFonts w:ascii="汉仪大黑简" w:eastAsia="汉仪大黑简" w:hint="eastAsia"/>
          <w:color w:val="000000" w:themeColor="text1"/>
          <w:szCs w:val="21"/>
        </w:rPr>
        <w:t>APP</w:t>
      </w:r>
    </w:p>
    <w:p w:rsidR="00066166" w:rsidRDefault="00F62BD0">
      <w:pPr>
        <w:jc w:val="center"/>
        <w:rPr>
          <w:rFonts w:ascii="汉仪大黑简" w:eastAsia="汉仪大黑简"/>
          <w:color w:val="000000" w:themeColor="text1"/>
          <w:szCs w:val="21"/>
        </w:rPr>
      </w:pPr>
      <w:r>
        <w:rPr>
          <w:rFonts w:ascii="汉仪大黑简" w:eastAsia="汉仪大黑简" w:hint="eastAsia"/>
          <w:color w:val="000000" w:themeColor="text1"/>
          <w:szCs w:val="21"/>
        </w:rPr>
        <w:t>为您提供</w:t>
      </w:r>
      <w:r>
        <w:rPr>
          <w:rFonts w:ascii="汉仪大黑简" w:eastAsia="汉仪大黑简" w:hint="eastAsia"/>
          <w:color w:val="000000" w:themeColor="text1"/>
          <w:szCs w:val="21"/>
        </w:rPr>
        <w:t>7x24</w:t>
      </w:r>
      <w:r>
        <w:rPr>
          <w:rFonts w:ascii="汉仪大黑简" w:eastAsia="汉仪大黑简" w:hint="eastAsia"/>
          <w:color w:val="000000" w:themeColor="text1"/>
          <w:szCs w:val="21"/>
        </w:rPr>
        <w:t>私人财富管家服务</w:t>
      </w:r>
    </w:p>
    <w:p w:rsidR="00066166" w:rsidRDefault="00F62BD0">
      <w:pPr>
        <w:jc w:val="center"/>
        <w:rPr>
          <w:color w:val="000000" w:themeColor="text1"/>
          <w:sz w:val="28"/>
          <w:szCs w:val="28"/>
        </w:rPr>
      </w:pPr>
      <w:r>
        <w:rPr>
          <w:noProof/>
          <w:color w:val="000000" w:themeColor="text1"/>
          <w:sz w:val="28"/>
          <w:szCs w:val="28"/>
        </w:rPr>
        <w:drawing>
          <wp:inline distT="0" distB="0" distL="0" distR="0" wp14:anchorId="07BA2CA0" wp14:editId="0C4EB717">
            <wp:extent cx="1490345" cy="1502410"/>
            <wp:effectExtent l="0" t="0" r="0" b="2540"/>
            <wp:docPr id="1" name="图片 1" descr="正式版下载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正式版下载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90345" cy="1502410"/>
                    </a:xfrm>
                    <a:prstGeom prst="rect">
                      <a:avLst/>
                    </a:prstGeom>
                    <a:noFill/>
                    <a:ln>
                      <a:noFill/>
                    </a:ln>
                  </pic:spPr>
                </pic:pic>
              </a:graphicData>
            </a:graphic>
          </wp:inline>
        </w:drawing>
      </w:r>
    </w:p>
    <w:p w:rsidR="00066166" w:rsidRDefault="00066166">
      <w:pPr>
        <w:jc w:val="center"/>
        <w:rPr>
          <w:color w:val="000000" w:themeColor="text1"/>
          <w:sz w:val="28"/>
          <w:szCs w:val="28"/>
        </w:rPr>
      </w:pPr>
    </w:p>
    <w:p w:rsidR="00066166" w:rsidRDefault="00066166">
      <w:pPr>
        <w:jc w:val="center"/>
        <w:rPr>
          <w:color w:val="000000" w:themeColor="text1"/>
          <w:sz w:val="28"/>
          <w:szCs w:val="28"/>
        </w:rPr>
      </w:pPr>
    </w:p>
    <w:p w:rsidR="00066166" w:rsidRDefault="00F62BD0">
      <w:pPr>
        <w:ind w:firstLineChars="200" w:firstLine="482"/>
        <w:jc w:val="left"/>
        <w:rPr>
          <w:b/>
          <w:sz w:val="24"/>
        </w:rPr>
      </w:pPr>
      <w:r>
        <w:rPr>
          <w:rFonts w:hint="eastAsia"/>
          <w:b/>
          <w:sz w:val="24"/>
        </w:rPr>
        <w:t>提示：</w:t>
      </w:r>
      <w:r>
        <w:rPr>
          <w:b/>
          <w:sz w:val="24"/>
        </w:rPr>
        <w:t>如因委托人认购</w:t>
      </w:r>
      <w:r>
        <w:rPr>
          <w:rFonts w:hint="eastAsia"/>
          <w:b/>
          <w:sz w:val="24"/>
        </w:rPr>
        <w:t>（申购）</w:t>
      </w:r>
      <w:r>
        <w:rPr>
          <w:b/>
          <w:sz w:val="24"/>
        </w:rPr>
        <w:t>本信托计划或接受相关服务产生任何纠纷，或对本信托计划或者相关服务存在任何建议或意见的，委托人均可通过如下渠道进行投诉或联系我们，受托人将及时核实消费投诉内容并与投诉人沟通，积极通过协商方式解决消费纠纷。</w:t>
      </w:r>
      <w:r>
        <w:rPr>
          <w:b/>
          <w:sz w:val="24"/>
        </w:rPr>
        <w:br/>
      </w:r>
      <w:r>
        <w:rPr>
          <w:rFonts w:hint="eastAsia"/>
          <w:b/>
          <w:sz w:val="24"/>
        </w:rPr>
        <w:t xml:space="preserve"> </w:t>
      </w:r>
      <w:r>
        <w:rPr>
          <w:b/>
          <w:sz w:val="24"/>
        </w:rPr>
        <w:t xml:space="preserve"> </w:t>
      </w:r>
      <w:r>
        <w:rPr>
          <w:b/>
          <w:sz w:val="24"/>
        </w:rPr>
        <w:t>（</w:t>
      </w:r>
      <w:r>
        <w:rPr>
          <w:b/>
          <w:sz w:val="24"/>
        </w:rPr>
        <w:t>1</w:t>
      </w:r>
      <w:r>
        <w:rPr>
          <w:b/>
          <w:sz w:val="24"/>
        </w:rPr>
        <w:t>）客户服务热线：</w:t>
      </w:r>
      <w:r>
        <w:rPr>
          <w:b/>
          <w:sz w:val="24"/>
        </w:rPr>
        <w:t>400-971-0077</w:t>
      </w:r>
      <w:r>
        <w:rPr>
          <w:b/>
          <w:sz w:val="24"/>
        </w:rPr>
        <w:br/>
      </w:r>
      <w:r>
        <w:rPr>
          <w:rFonts w:hint="eastAsia"/>
          <w:b/>
          <w:sz w:val="24"/>
        </w:rPr>
        <w:t xml:space="preserve"> </w:t>
      </w:r>
      <w:r>
        <w:rPr>
          <w:b/>
          <w:sz w:val="24"/>
        </w:rPr>
        <w:t xml:space="preserve"> </w:t>
      </w:r>
      <w:r>
        <w:rPr>
          <w:b/>
          <w:sz w:val="24"/>
        </w:rPr>
        <w:t>（</w:t>
      </w:r>
      <w:r>
        <w:rPr>
          <w:rFonts w:hint="eastAsia"/>
          <w:b/>
          <w:sz w:val="24"/>
        </w:rPr>
        <w:t>2</w:t>
      </w:r>
      <w:r>
        <w:rPr>
          <w:b/>
          <w:sz w:val="24"/>
        </w:rPr>
        <w:t>）电子邮箱：</w:t>
      </w:r>
      <w:r>
        <w:rPr>
          <w:b/>
          <w:sz w:val="24"/>
        </w:rPr>
        <w:t>mintrust-fortune@mintrust.com</w:t>
      </w:r>
      <w:r>
        <w:rPr>
          <w:b/>
          <w:sz w:val="24"/>
        </w:rPr>
        <w:br/>
      </w:r>
      <w:r>
        <w:rPr>
          <w:rFonts w:hint="eastAsia"/>
          <w:b/>
          <w:sz w:val="24"/>
        </w:rPr>
        <w:t xml:space="preserve"> </w:t>
      </w:r>
      <w:r>
        <w:rPr>
          <w:b/>
          <w:sz w:val="24"/>
        </w:rPr>
        <w:t xml:space="preserve"> </w:t>
      </w:r>
      <w:r>
        <w:rPr>
          <w:b/>
          <w:sz w:val="24"/>
        </w:rPr>
        <w:t>（</w:t>
      </w:r>
      <w:r>
        <w:rPr>
          <w:rFonts w:hint="eastAsia"/>
          <w:b/>
          <w:sz w:val="24"/>
        </w:rPr>
        <w:t>3</w:t>
      </w:r>
      <w:r>
        <w:rPr>
          <w:b/>
          <w:sz w:val="24"/>
        </w:rPr>
        <w:t>）信函地址：北京市东城区朝阳门北大街</w:t>
      </w:r>
      <w:r>
        <w:rPr>
          <w:b/>
          <w:sz w:val="24"/>
        </w:rPr>
        <w:t>7</w:t>
      </w:r>
      <w:r>
        <w:rPr>
          <w:b/>
          <w:sz w:val="24"/>
        </w:rPr>
        <w:t>号五矿广场</w:t>
      </w:r>
      <w:r>
        <w:rPr>
          <w:b/>
          <w:sz w:val="24"/>
        </w:rPr>
        <w:t>C</w:t>
      </w:r>
      <w:r>
        <w:rPr>
          <w:b/>
          <w:sz w:val="24"/>
        </w:rPr>
        <w:t>座</w:t>
      </w:r>
      <w:r>
        <w:rPr>
          <w:b/>
          <w:sz w:val="24"/>
        </w:rPr>
        <w:t>10</w:t>
      </w:r>
      <w:r>
        <w:rPr>
          <w:b/>
          <w:sz w:val="24"/>
        </w:rPr>
        <w:t>层（邮编：</w:t>
      </w:r>
      <w:r>
        <w:rPr>
          <w:b/>
          <w:sz w:val="24"/>
        </w:rPr>
        <w:t>100010</w:t>
      </w:r>
      <w:r>
        <w:rPr>
          <w:b/>
          <w:sz w:val="24"/>
        </w:rPr>
        <w:t>）</w:t>
      </w:r>
      <w:r>
        <w:rPr>
          <w:b/>
          <w:sz w:val="24"/>
        </w:rPr>
        <w:br/>
      </w:r>
      <w:r>
        <w:rPr>
          <w:rFonts w:hint="eastAsia"/>
          <w:b/>
          <w:sz w:val="24"/>
        </w:rPr>
        <w:t xml:space="preserve"> </w:t>
      </w:r>
      <w:r>
        <w:rPr>
          <w:b/>
          <w:sz w:val="24"/>
        </w:rPr>
        <w:t xml:space="preserve"> </w:t>
      </w:r>
      <w:r>
        <w:rPr>
          <w:b/>
          <w:sz w:val="24"/>
        </w:rPr>
        <w:t>（</w:t>
      </w:r>
      <w:r>
        <w:rPr>
          <w:rFonts w:hint="eastAsia"/>
          <w:b/>
          <w:sz w:val="24"/>
        </w:rPr>
        <w:t>4</w:t>
      </w:r>
      <w:r>
        <w:rPr>
          <w:b/>
          <w:sz w:val="24"/>
        </w:rPr>
        <w:t>）面访部门：五矿国际信托有限公司</w:t>
      </w:r>
      <w:r>
        <w:rPr>
          <w:b/>
          <w:sz w:val="24"/>
        </w:rPr>
        <w:t> </w:t>
      </w:r>
      <w:r>
        <w:rPr>
          <w:b/>
          <w:sz w:val="24"/>
        </w:rPr>
        <w:t>财富管理中心（地址：北京市东城区朝阳门北大街</w:t>
      </w:r>
      <w:r>
        <w:rPr>
          <w:b/>
          <w:sz w:val="24"/>
        </w:rPr>
        <w:t>7</w:t>
      </w:r>
      <w:r>
        <w:rPr>
          <w:b/>
          <w:sz w:val="24"/>
        </w:rPr>
        <w:t>号五矿广场</w:t>
      </w:r>
      <w:r>
        <w:rPr>
          <w:b/>
          <w:sz w:val="24"/>
        </w:rPr>
        <w:t>C</w:t>
      </w:r>
      <w:r>
        <w:rPr>
          <w:b/>
          <w:sz w:val="24"/>
        </w:rPr>
        <w:t>座</w:t>
      </w:r>
      <w:r>
        <w:rPr>
          <w:b/>
          <w:sz w:val="24"/>
        </w:rPr>
        <w:t>10</w:t>
      </w:r>
      <w:r>
        <w:rPr>
          <w:b/>
          <w:sz w:val="24"/>
        </w:rPr>
        <w:t>层）</w:t>
      </w:r>
    </w:p>
    <w:p w:rsidR="00066166" w:rsidRDefault="00F62BD0">
      <w:pPr>
        <w:widowControl/>
        <w:jc w:val="left"/>
        <w:rPr>
          <w:b/>
          <w:sz w:val="24"/>
        </w:rPr>
      </w:pPr>
      <w:r>
        <w:rPr>
          <w:b/>
          <w:sz w:val="24"/>
        </w:rPr>
        <w:br w:type="page"/>
      </w:r>
    </w:p>
    <w:p w:rsidR="00066166" w:rsidRDefault="00F62BD0">
      <w:pPr>
        <w:pStyle w:val="1"/>
        <w:tabs>
          <w:tab w:val="left" w:pos="425"/>
        </w:tabs>
        <w:spacing w:beforeLines="100" w:before="312" w:afterLines="100" w:after="312" w:line="300" w:lineRule="auto"/>
        <w:ind w:left="425"/>
        <w:jc w:val="center"/>
        <w:rPr>
          <w:color w:val="000000" w:themeColor="text1"/>
          <w:sz w:val="24"/>
          <w:szCs w:val="24"/>
        </w:rPr>
      </w:pPr>
      <w:bookmarkStart w:id="343" w:name="_Toc20385128"/>
      <w:bookmarkStart w:id="344" w:name="_Toc42724070"/>
      <w:bookmarkStart w:id="345" w:name="_Toc23357389"/>
      <w:bookmarkStart w:id="346" w:name="_Toc59631229"/>
      <w:bookmarkStart w:id="347" w:name="_Toc20313359"/>
      <w:bookmarkStart w:id="348" w:name="_Toc91143626"/>
      <w:r>
        <w:rPr>
          <w:rFonts w:hint="eastAsia"/>
          <w:color w:val="000000" w:themeColor="text1"/>
          <w:sz w:val="24"/>
          <w:szCs w:val="24"/>
        </w:rPr>
        <w:t>认购（申购）条款</w:t>
      </w:r>
      <w:bookmarkEnd w:id="343"/>
      <w:bookmarkEnd w:id="344"/>
      <w:bookmarkEnd w:id="345"/>
      <w:bookmarkEnd w:id="346"/>
      <w:bookmarkEnd w:id="347"/>
      <w:bookmarkEnd w:id="348"/>
    </w:p>
    <w:p w:rsidR="00066166" w:rsidRDefault="00066166">
      <w:pPr>
        <w:spacing w:line="240" w:lineRule="atLeast"/>
        <w:ind w:rightChars="-94" w:right="-197"/>
        <w:jc w:val="center"/>
        <w:rPr>
          <w:rFonts w:eastAsia="楷体_GB2312"/>
          <w:color w:val="000000" w:themeColor="text1"/>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709"/>
        <w:gridCol w:w="1743"/>
        <w:gridCol w:w="1116"/>
        <w:gridCol w:w="2669"/>
      </w:tblGrid>
      <w:tr w:rsidR="00066166">
        <w:trPr>
          <w:cantSplit/>
          <w:trHeight w:val="696"/>
        </w:trPr>
        <w:tc>
          <w:tcPr>
            <w:tcW w:w="1135" w:type="dxa"/>
            <w:vMerge w:val="restart"/>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委</w:t>
            </w:r>
          </w:p>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托</w:t>
            </w:r>
          </w:p>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人</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自然人姓名</w:t>
            </w:r>
            <w:r>
              <w:rPr>
                <w:rFonts w:eastAsia="楷体_GB2312"/>
                <w:color w:val="000000" w:themeColor="text1"/>
                <w:kern w:val="0"/>
              </w:rPr>
              <w:t>/</w:t>
            </w:r>
          </w:p>
          <w:p w:rsidR="00066166" w:rsidRDefault="00F62BD0">
            <w:pPr>
              <w:spacing w:line="240" w:lineRule="atLeast"/>
              <w:rPr>
                <w:rFonts w:eastAsia="楷体_GB2312"/>
                <w:color w:val="000000" w:themeColor="text1"/>
                <w:kern w:val="0"/>
              </w:rPr>
            </w:pPr>
            <w:r>
              <w:rPr>
                <w:rFonts w:eastAsia="楷体_GB2312"/>
                <w:color w:val="000000" w:themeColor="text1"/>
                <w:kern w:val="0"/>
              </w:rPr>
              <w:t>法人</w:t>
            </w:r>
            <w:r>
              <w:rPr>
                <w:rFonts w:eastAsia="楷体_GB2312" w:hint="eastAsia"/>
                <w:color w:val="000000" w:themeColor="text1"/>
                <w:kern w:val="0"/>
              </w:rPr>
              <w:t>或非法人组织</w:t>
            </w:r>
            <w:r>
              <w:rPr>
                <w:rFonts w:eastAsia="楷体_GB2312"/>
                <w:color w:val="000000" w:themeColor="text1"/>
                <w:kern w:val="0"/>
              </w:rPr>
              <w:t>名称</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96"/>
        </w:trPr>
        <w:tc>
          <w:tcPr>
            <w:tcW w:w="1135" w:type="dxa"/>
            <w:vMerge/>
            <w:vAlign w:val="center"/>
          </w:tcPr>
          <w:p w:rsidR="00066166" w:rsidRDefault="00066166">
            <w:pPr>
              <w:spacing w:line="240" w:lineRule="atLeast"/>
              <w:jc w:val="center"/>
              <w:rPr>
                <w:rFonts w:eastAsia="楷体_GB2312"/>
                <w:color w:val="000000" w:themeColor="text1"/>
                <w:kern w:val="0"/>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证件类型</w:t>
            </w:r>
          </w:p>
        </w:tc>
        <w:tc>
          <w:tcPr>
            <w:tcW w:w="6237" w:type="dxa"/>
            <w:gridSpan w:val="4"/>
            <w:vAlign w:val="center"/>
          </w:tcPr>
          <w:p w:rsidR="00066166" w:rsidRDefault="00066166">
            <w:pPr>
              <w:spacing w:line="240" w:lineRule="atLeast"/>
              <w:rPr>
                <w:rFonts w:eastAsia="楷体_GB2312"/>
                <w:color w:val="000000" w:themeColor="text1"/>
                <w:kern w:val="0"/>
                <w:szCs w:val="21"/>
              </w:rPr>
            </w:pPr>
          </w:p>
          <w:p w:rsidR="00066166" w:rsidRDefault="00F62BD0">
            <w:pPr>
              <w:spacing w:line="240" w:lineRule="atLeast"/>
              <w:rPr>
                <w:rFonts w:eastAsia="楷体_GB2312"/>
                <w:color w:val="000000" w:themeColor="text1"/>
                <w:kern w:val="0"/>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r>
              <w:rPr>
                <w:rFonts w:eastAsia="楷体_GB2312"/>
                <w:color w:val="000000" w:themeColor="text1"/>
                <w:kern w:val="0"/>
              </w:rPr>
              <w:t xml:space="preserve"> </w:t>
            </w:r>
          </w:p>
        </w:tc>
      </w:tr>
      <w:tr w:rsidR="00066166">
        <w:trPr>
          <w:cantSplit/>
          <w:trHeight w:val="696"/>
        </w:trPr>
        <w:tc>
          <w:tcPr>
            <w:tcW w:w="1135" w:type="dxa"/>
            <w:vMerge/>
            <w:vAlign w:val="center"/>
          </w:tcPr>
          <w:p w:rsidR="00066166" w:rsidRDefault="00066166">
            <w:pPr>
              <w:spacing w:line="240" w:lineRule="atLeast"/>
              <w:jc w:val="center"/>
              <w:rPr>
                <w:rFonts w:eastAsia="楷体_GB2312"/>
                <w:color w:val="000000" w:themeColor="text1"/>
                <w:kern w:val="0"/>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证件号码</w:t>
            </w:r>
          </w:p>
        </w:tc>
        <w:tc>
          <w:tcPr>
            <w:tcW w:w="6237" w:type="dxa"/>
            <w:gridSpan w:val="4"/>
            <w:vAlign w:val="center"/>
          </w:tcPr>
          <w:p w:rsidR="00066166" w:rsidRDefault="00066166">
            <w:pPr>
              <w:spacing w:line="240" w:lineRule="atLeast"/>
              <w:rPr>
                <w:rFonts w:eastAsia="楷体_GB2312"/>
                <w:color w:val="000000" w:themeColor="text1"/>
                <w:kern w:val="0"/>
                <w:sz w:val="32"/>
              </w:rPr>
            </w:pPr>
          </w:p>
        </w:tc>
      </w:tr>
      <w:tr w:rsidR="00066166">
        <w:trPr>
          <w:cantSplit/>
          <w:trHeight w:val="636"/>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restart"/>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 w:val="18"/>
                <w:szCs w:val="18"/>
              </w:rPr>
              <w:t>法人或非法人组织的法定代表人</w:t>
            </w:r>
            <w:r>
              <w:rPr>
                <w:rFonts w:eastAsia="楷体_GB2312" w:hint="eastAsia"/>
                <w:color w:val="000000" w:themeColor="text1"/>
                <w:kern w:val="0"/>
                <w:sz w:val="18"/>
                <w:szCs w:val="18"/>
              </w:rPr>
              <w:t>/</w:t>
            </w:r>
            <w:r>
              <w:rPr>
                <w:rFonts w:eastAsia="楷体_GB2312" w:hint="eastAsia"/>
                <w:color w:val="000000" w:themeColor="text1"/>
                <w:kern w:val="0"/>
                <w:sz w:val="18"/>
                <w:szCs w:val="18"/>
              </w:rPr>
              <w:t>负责人</w:t>
            </w:r>
            <w:r>
              <w:rPr>
                <w:rFonts w:eastAsia="楷体_GB2312" w:hint="eastAsia"/>
                <w:color w:val="000000" w:themeColor="text1"/>
                <w:kern w:val="0"/>
                <w:sz w:val="18"/>
                <w:szCs w:val="18"/>
              </w:rPr>
              <w:t>/</w:t>
            </w:r>
            <w:r>
              <w:rPr>
                <w:rFonts w:eastAsia="楷体_GB2312" w:hint="eastAsia"/>
                <w:color w:val="000000" w:themeColor="text1"/>
                <w:kern w:val="0"/>
                <w:sz w:val="18"/>
                <w:szCs w:val="18"/>
              </w:rPr>
              <w:t>管理人</w:t>
            </w:r>
            <w:r>
              <w:rPr>
                <w:rFonts w:eastAsia="楷体_GB2312" w:hint="eastAsia"/>
                <w:color w:val="000000" w:themeColor="text1"/>
                <w:kern w:val="0"/>
                <w:sz w:val="18"/>
                <w:szCs w:val="18"/>
              </w:rPr>
              <w:t>/</w:t>
            </w:r>
            <w:r>
              <w:rPr>
                <w:rFonts w:eastAsia="楷体_GB2312" w:hint="eastAsia"/>
                <w:color w:val="000000" w:themeColor="text1"/>
                <w:kern w:val="0"/>
                <w:sz w:val="18"/>
                <w:szCs w:val="18"/>
              </w:rPr>
              <w:t>执行事务合伙人委派代表或委托人的授权代表</w:t>
            </w: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姓名</w:t>
            </w:r>
          </w:p>
        </w:tc>
        <w:tc>
          <w:tcPr>
            <w:tcW w:w="5528" w:type="dxa"/>
            <w:gridSpan w:val="3"/>
            <w:vAlign w:val="bottom"/>
          </w:tcPr>
          <w:p w:rsidR="00066166" w:rsidRDefault="00066166">
            <w:pPr>
              <w:spacing w:line="240" w:lineRule="atLeast"/>
              <w:rPr>
                <w:rFonts w:eastAsia="楷体_GB2312"/>
                <w:color w:val="000000" w:themeColor="text1"/>
                <w:kern w:val="0"/>
              </w:rPr>
            </w:pPr>
          </w:p>
        </w:tc>
      </w:tr>
      <w:tr w:rsidR="00066166">
        <w:trPr>
          <w:cantSplit/>
          <w:trHeight w:val="702"/>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ign w:val="bottom"/>
          </w:tcPr>
          <w:p w:rsidR="00066166" w:rsidRDefault="00066166">
            <w:pPr>
              <w:spacing w:line="240" w:lineRule="atLeast"/>
              <w:rPr>
                <w:rFonts w:eastAsia="楷体_GB2312"/>
                <w:b/>
                <w:color w:val="000000" w:themeColor="text1"/>
                <w:kern w:val="0"/>
                <w:sz w:val="44"/>
              </w:rPr>
            </w:pP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证件类型</w:t>
            </w:r>
          </w:p>
        </w:tc>
        <w:tc>
          <w:tcPr>
            <w:tcW w:w="5528" w:type="dxa"/>
            <w:gridSpan w:val="3"/>
            <w:vAlign w:val="bottom"/>
          </w:tcPr>
          <w:p w:rsidR="00066166" w:rsidRDefault="00F62BD0">
            <w:pPr>
              <w:spacing w:line="240" w:lineRule="atLeast"/>
              <w:rPr>
                <w:rFonts w:eastAsia="楷体_GB2312"/>
                <w:color w:val="000000" w:themeColor="text1"/>
                <w:kern w:val="0"/>
                <w:sz w:val="24"/>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066166">
        <w:trPr>
          <w:cantSplit/>
          <w:trHeight w:val="702"/>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ign w:val="bottom"/>
          </w:tcPr>
          <w:p w:rsidR="00066166" w:rsidRDefault="00066166">
            <w:pPr>
              <w:spacing w:line="240" w:lineRule="atLeast"/>
              <w:rPr>
                <w:rFonts w:eastAsia="楷体_GB2312"/>
                <w:b/>
                <w:color w:val="000000" w:themeColor="text1"/>
                <w:kern w:val="0"/>
                <w:sz w:val="44"/>
              </w:rPr>
            </w:pP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hint="eastAsia"/>
                <w:color w:val="000000" w:themeColor="text1"/>
                <w:kern w:val="0"/>
              </w:rPr>
              <w:t>证件号码</w:t>
            </w:r>
          </w:p>
        </w:tc>
        <w:tc>
          <w:tcPr>
            <w:tcW w:w="5528" w:type="dxa"/>
            <w:gridSpan w:val="3"/>
            <w:vAlign w:val="bottom"/>
          </w:tcPr>
          <w:p w:rsidR="00066166" w:rsidRDefault="00066166">
            <w:pPr>
              <w:spacing w:line="240" w:lineRule="atLeast"/>
              <w:rPr>
                <w:rFonts w:eastAsia="楷体_GB2312"/>
                <w:color w:val="000000" w:themeColor="text1"/>
                <w:kern w:val="0"/>
                <w:sz w:val="24"/>
              </w:rPr>
            </w:pPr>
          </w:p>
        </w:tc>
      </w:tr>
      <w:tr w:rsidR="00066166">
        <w:trPr>
          <w:cantSplit/>
          <w:trHeight w:val="568"/>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通讯地址</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95"/>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邮政编码</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联系人</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704"/>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联系电话</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手机</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697"/>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传真</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电子信箱</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704"/>
        </w:trPr>
        <w:tc>
          <w:tcPr>
            <w:tcW w:w="2978" w:type="dxa"/>
            <w:gridSpan w:val="2"/>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受益人</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受益人与委托人为同一人。</w:t>
            </w:r>
          </w:p>
        </w:tc>
      </w:tr>
      <w:tr w:rsidR="00066166">
        <w:trPr>
          <w:cantSplit/>
          <w:trHeight w:val="704"/>
        </w:trPr>
        <w:tc>
          <w:tcPr>
            <w:tcW w:w="2978" w:type="dxa"/>
            <w:gridSpan w:val="2"/>
            <w:vAlign w:val="center"/>
          </w:tcPr>
          <w:p w:rsidR="00066166" w:rsidRDefault="00F62BD0">
            <w:pPr>
              <w:spacing w:line="240" w:lineRule="atLeast"/>
              <w:jc w:val="center"/>
              <w:rPr>
                <w:rFonts w:eastAsia="楷体_GB2312"/>
                <w:color w:val="000000" w:themeColor="text1"/>
                <w:kern w:val="0"/>
              </w:rPr>
            </w:pPr>
            <w:r>
              <w:rPr>
                <w:rFonts w:eastAsia="楷体_GB2312" w:hint="eastAsia"/>
                <w:color w:val="000000" w:themeColor="text1"/>
                <w:kern w:val="0"/>
              </w:rPr>
              <w:t>支付方式</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Cs w:val="21"/>
              </w:rPr>
              <w:t>【</w:t>
            </w:r>
            <w:r>
              <w:rPr>
                <w:rFonts w:eastAsia="楷体_GB2312" w:hint="eastAsia"/>
                <w:color w:val="000000" w:themeColor="text1"/>
                <w:kern w:val="0"/>
                <w:szCs w:val="21"/>
              </w:rPr>
              <w:t>POS</w:t>
            </w:r>
            <w:r>
              <w:rPr>
                <w:rFonts w:eastAsia="楷体_GB2312" w:hint="eastAsia"/>
                <w:color w:val="000000" w:themeColor="text1"/>
                <w:kern w:val="0"/>
                <w:szCs w:val="21"/>
              </w:rPr>
              <w:t>划款</w:t>
            </w:r>
            <w:r>
              <w:rPr>
                <w:rFonts w:eastAsia="楷体_GB2312" w:hint="eastAsia"/>
                <w:color w:val="000000" w:themeColor="text1"/>
                <w:kern w:val="0"/>
                <w:szCs w:val="21"/>
              </w:rPr>
              <w:t>/</w:t>
            </w:r>
            <w:r>
              <w:rPr>
                <w:rFonts w:eastAsia="楷体_GB2312" w:hint="eastAsia"/>
                <w:color w:val="000000" w:themeColor="text1"/>
                <w:kern w:val="0"/>
                <w:szCs w:val="21"/>
              </w:rPr>
              <w:t>银行转账】</w:t>
            </w:r>
          </w:p>
        </w:tc>
      </w:tr>
      <w:tr w:rsidR="00066166">
        <w:trPr>
          <w:cantSplit/>
          <w:trHeight w:val="685"/>
        </w:trPr>
        <w:tc>
          <w:tcPr>
            <w:tcW w:w="1135" w:type="dxa"/>
            <w:vMerge w:val="restart"/>
            <w:vAlign w:val="center"/>
          </w:tcPr>
          <w:p w:rsidR="00066166" w:rsidRDefault="00F62BD0">
            <w:pPr>
              <w:spacing w:line="240" w:lineRule="atLeast"/>
              <w:jc w:val="center"/>
              <w:rPr>
                <w:rFonts w:eastAsia="楷体_GB2312"/>
                <w:color w:val="000000" w:themeColor="text1"/>
                <w:kern w:val="0"/>
              </w:rPr>
            </w:pPr>
            <w:bookmarkStart w:id="349" w:name="_Hlk42770395"/>
            <w:r>
              <w:rPr>
                <w:rFonts w:eastAsia="楷体_GB2312" w:hint="eastAsia"/>
                <w:color w:val="000000" w:themeColor="text1"/>
                <w:kern w:val="0"/>
              </w:rPr>
              <w:t>募集</w:t>
            </w:r>
            <w:r>
              <w:rPr>
                <w:rFonts w:eastAsia="楷体_GB2312"/>
                <w:color w:val="000000" w:themeColor="text1"/>
                <w:kern w:val="0"/>
              </w:rPr>
              <w:t>账户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714"/>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73"/>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411"/>
        </w:trPr>
        <w:tc>
          <w:tcPr>
            <w:tcW w:w="9215" w:type="dxa"/>
            <w:gridSpan w:val="6"/>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 w:val="18"/>
                <w:szCs w:val="18"/>
              </w:rPr>
              <w:t>当未特别设立募集账户时募集账户信息可不填写。</w:t>
            </w:r>
          </w:p>
        </w:tc>
      </w:tr>
      <w:tr w:rsidR="00066166">
        <w:trPr>
          <w:cantSplit/>
          <w:trHeight w:val="685"/>
        </w:trPr>
        <w:tc>
          <w:tcPr>
            <w:tcW w:w="1135" w:type="dxa"/>
            <w:vMerge w:val="restart"/>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信托利益分配账户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bottom"/>
          </w:tcPr>
          <w:p w:rsidR="00066166" w:rsidRDefault="00066166">
            <w:pPr>
              <w:spacing w:line="240" w:lineRule="atLeast"/>
              <w:rPr>
                <w:rFonts w:eastAsia="楷体_GB2312"/>
                <w:color w:val="000000" w:themeColor="text1"/>
                <w:kern w:val="0"/>
              </w:rPr>
            </w:pPr>
          </w:p>
        </w:tc>
      </w:tr>
      <w:tr w:rsidR="00066166">
        <w:trPr>
          <w:cantSplit/>
          <w:trHeight w:val="714"/>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F62BD0">
            <w:pPr>
              <w:spacing w:line="240" w:lineRule="atLeast"/>
              <w:ind w:leftChars="251" w:left="527"/>
              <w:jc w:val="center"/>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066166">
        <w:trPr>
          <w:cantSplit/>
          <w:trHeight w:val="673"/>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bottom"/>
          </w:tcPr>
          <w:p w:rsidR="00066166" w:rsidRDefault="00066166">
            <w:pPr>
              <w:spacing w:line="240" w:lineRule="atLeast"/>
              <w:rPr>
                <w:rFonts w:eastAsia="楷体_GB2312"/>
                <w:color w:val="000000" w:themeColor="text1"/>
                <w:kern w:val="0"/>
              </w:rPr>
            </w:pPr>
          </w:p>
        </w:tc>
      </w:tr>
      <w:bookmarkEnd w:id="349"/>
      <w:tr w:rsidR="00066166">
        <w:trPr>
          <w:cantSplit/>
          <w:trHeight w:val="625"/>
        </w:trPr>
        <w:tc>
          <w:tcPr>
            <w:tcW w:w="1135" w:type="dxa"/>
            <w:vMerge w:val="restart"/>
            <w:vAlign w:val="center"/>
          </w:tcPr>
          <w:p w:rsidR="00066166" w:rsidRDefault="00F62BD0">
            <w:pPr>
              <w:keepNext/>
              <w:keepLines/>
              <w:numPr>
                <w:ilvl w:val="2"/>
                <w:numId w:val="0"/>
              </w:numPr>
              <w:tabs>
                <w:tab w:val="left" w:pos="720"/>
              </w:tabs>
              <w:spacing w:line="240" w:lineRule="atLeast"/>
              <w:outlineLvl w:val="2"/>
              <w:rPr>
                <w:rFonts w:eastAsia="楷体_GB2312"/>
                <w:color w:val="000000" w:themeColor="text1"/>
                <w:kern w:val="0"/>
              </w:rPr>
            </w:pPr>
            <w:r>
              <w:rPr>
                <w:rFonts w:eastAsia="楷体_GB2312" w:hint="eastAsia"/>
                <w:color w:val="000000" w:themeColor="text1"/>
                <w:kern w:val="0"/>
              </w:rPr>
              <w:t>信托专户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25"/>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066166">
            <w:pPr>
              <w:spacing w:line="240" w:lineRule="atLeast"/>
              <w:jc w:val="left"/>
              <w:rPr>
                <w:rFonts w:eastAsia="楷体_GB2312"/>
                <w:color w:val="000000" w:themeColor="text1"/>
                <w:kern w:val="0"/>
              </w:rPr>
            </w:pPr>
          </w:p>
        </w:tc>
      </w:tr>
      <w:tr w:rsidR="00066166">
        <w:trPr>
          <w:cantSplit/>
          <w:trHeight w:val="625"/>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516"/>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本次申购的开放日（仅适用于申购）</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p>
        </w:tc>
      </w:tr>
      <w:tr w:rsidR="00066166">
        <w:trPr>
          <w:cantSplit/>
          <w:trHeight w:val="516"/>
        </w:trPr>
        <w:tc>
          <w:tcPr>
            <w:tcW w:w="2978" w:type="dxa"/>
            <w:gridSpan w:val="2"/>
            <w:vMerge w:val="restart"/>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认购</w:t>
            </w:r>
            <w:r>
              <w:rPr>
                <w:rFonts w:eastAsia="楷体_GB2312" w:hint="eastAsia"/>
                <w:color w:val="000000" w:themeColor="text1"/>
                <w:kern w:val="0"/>
              </w:rPr>
              <w:t>（申购）</w:t>
            </w:r>
            <w:r>
              <w:rPr>
                <w:rFonts w:eastAsia="楷体_GB2312"/>
                <w:color w:val="000000" w:themeColor="text1"/>
                <w:kern w:val="0"/>
              </w:rPr>
              <w:t>资金金额</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（大写）人民币：</w:t>
            </w:r>
            <w:r>
              <w:rPr>
                <w:rFonts w:eastAsia="楷体_GB2312" w:hint="eastAsia"/>
                <w:color w:val="000000" w:themeColor="text1"/>
                <w:kern w:val="0"/>
              </w:rPr>
              <w:t xml:space="preserve">                   </w:t>
            </w:r>
            <w:r>
              <w:rPr>
                <w:rFonts w:eastAsia="楷体_GB2312" w:hint="eastAsia"/>
                <w:color w:val="000000" w:themeColor="text1"/>
                <w:kern w:val="0"/>
              </w:rPr>
              <w:t>万元</w:t>
            </w:r>
          </w:p>
        </w:tc>
      </w:tr>
      <w:tr w:rsidR="00066166">
        <w:trPr>
          <w:cantSplit/>
          <w:trHeight w:val="416"/>
        </w:trPr>
        <w:tc>
          <w:tcPr>
            <w:tcW w:w="2978" w:type="dxa"/>
            <w:gridSpan w:val="2"/>
            <w:vMerge/>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（小写）￥：</w:t>
            </w:r>
            <w:r>
              <w:rPr>
                <w:rFonts w:eastAsia="楷体_GB2312" w:hint="eastAsia"/>
                <w:color w:val="000000" w:themeColor="text1"/>
                <w:kern w:val="0"/>
              </w:rPr>
              <w:t xml:space="preserve">                   </w:t>
            </w:r>
            <w:r>
              <w:rPr>
                <w:rFonts w:eastAsia="楷体_GB2312" w:hint="eastAsia"/>
                <w:color w:val="000000" w:themeColor="text1"/>
                <w:kern w:val="0"/>
              </w:rPr>
              <w:t>万元</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kern w:val="0"/>
              </w:rPr>
              <w:t>信托单位赎回方式</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kern w:val="0"/>
              </w:rPr>
              <w:t>自动赎回</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bookmarkStart w:id="350" w:name="_Hlk49353763"/>
            <w:r>
              <w:rPr>
                <w:rFonts w:eastAsia="楷体_GB2312" w:hint="eastAsia"/>
                <w:color w:val="000000" w:themeColor="text1"/>
                <w:kern w:val="0"/>
              </w:rPr>
              <w:t>到账截止时间</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r>
              <w:rPr>
                <w:rFonts w:eastAsia="楷体_GB2312" w:hint="eastAsia"/>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w:t>
            </w:r>
            <w:r>
              <w:rPr>
                <w:rFonts w:eastAsia="楷体_GB2312"/>
                <w:color w:val="000000" w:themeColor="text1"/>
                <w:kern w:val="0"/>
              </w:rPr>
              <w:t>:</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00 </w:t>
            </w:r>
            <w:r>
              <w:rPr>
                <w:rFonts w:eastAsia="楷体_GB2312" w:hint="eastAsia"/>
                <w:color w:val="000000" w:themeColor="text1"/>
                <w:kern w:val="0"/>
              </w:rPr>
              <w:t>】前</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浮动报酬计提基准（</w:t>
            </w:r>
            <w:r>
              <w:rPr>
                <w:rFonts w:eastAsia="楷体_GB2312" w:hint="eastAsia"/>
                <w:color w:val="000000" w:themeColor="text1"/>
                <w:kern w:val="0"/>
              </w:rPr>
              <w:t>R</w:t>
            </w:r>
            <w:r>
              <w:rPr>
                <w:rFonts w:eastAsia="楷体_GB2312" w:hint="eastAsia"/>
                <w:color w:val="000000" w:themeColor="text1"/>
                <w:kern w:val="0"/>
              </w:rPr>
              <w:t>）</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锁定期</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kern w:val="0"/>
              </w:rPr>
              <w:t>就委托人本次认购</w:t>
            </w:r>
            <w:r>
              <w:rPr>
                <w:rFonts w:eastAsia="楷体_GB2312" w:hint="eastAsia"/>
                <w:color w:val="000000" w:themeColor="text1"/>
                <w:kern w:val="0"/>
              </w:rPr>
              <w:t>（申购）的</w:t>
            </w:r>
            <w:r>
              <w:rPr>
                <w:rFonts w:eastAsia="楷体_GB2312" w:hint="eastAsia"/>
                <w:kern w:val="0"/>
              </w:rPr>
              <w:t>信托单位而言，该等信托单位的锁定期指自该等信托单位的认购（申购）确认日（含）起至自该日起满</w:t>
            </w:r>
            <w:r>
              <w:rPr>
                <w:rFonts w:eastAsia="楷体_GB2312" w:hint="eastAsia"/>
                <w:kern w:val="0"/>
              </w:rPr>
              <w:t>12</w:t>
            </w:r>
            <w:r>
              <w:rPr>
                <w:rFonts w:eastAsia="楷体_GB2312" w:hint="eastAsia"/>
                <w:kern w:val="0"/>
              </w:rPr>
              <w:t>个月之日（含）止的期间。</w:t>
            </w:r>
          </w:p>
        </w:tc>
      </w:tr>
      <w:bookmarkEnd w:id="350"/>
      <w:tr w:rsidR="00066166">
        <w:trPr>
          <w:cantSplit/>
          <w:trHeight w:val="1104"/>
        </w:trPr>
        <w:tc>
          <w:tcPr>
            <w:tcW w:w="9215" w:type="dxa"/>
            <w:gridSpan w:val="6"/>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确认信托合同</w:t>
            </w:r>
            <w:r>
              <w:rPr>
                <w:rFonts w:eastAsia="楷体_GB2312" w:hint="eastAsia"/>
                <w:color w:val="000000" w:themeColor="text1"/>
                <w:kern w:val="0"/>
              </w:rPr>
              <w:t>/</w:t>
            </w:r>
            <w:r>
              <w:rPr>
                <w:rFonts w:eastAsia="楷体_GB2312" w:hint="eastAsia"/>
                <w:color w:val="000000" w:themeColor="text1"/>
                <w:kern w:val="0"/>
              </w:rPr>
              <w:t>信托文件（根据实际情况，包括但不限于《信托合同》、《风险申明书》、《信托计划说明书》（根据实际情况确定）等），即意味着您已经完整阅读信托合同</w:t>
            </w:r>
            <w:r>
              <w:rPr>
                <w:rFonts w:eastAsia="楷体_GB2312" w:hint="eastAsia"/>
                <w:color w:val="000000" w:themeColor="text1"/>
                <w:kern w:val="0"/>
              </w:rPr>
              <w:t>/</w:t>
            </w:r>
            <w:r>
              <w:rPr>
                <w:rFonts w:eastAsia="楷体_GB2312" w:hint="eastAsia"/>
                <w:color w:val="000000" w:themeColor="text1"/>
                <w:kern w:val="0"/>
              </w:rPr>
              <w:t>信托文件的全部内容，并同意以数据电文或纸质签署方式，或受托人认可</w:t>
            </w:r>
            <w:r>
              <w:rPr>
                <w:rFonts w:eastAsia="楷体_GB2312" w:hint="eastAsia"/>
                <w:color w:val="000000" w:themeColor="text1"/>
                <w:kern w:val="0"/>
              </w:rPr>
              <w:t>/</w:t>
            </w:r>
            <w:r>
              <w:rPr>
                <w:rFonts w:eastAsia="楷体_GB2312" w:hint="eastAsia"/>
                <w:color w:val="000000" w:themeColor="text1"/>
                <w:kern w:val="0"/>
              </w:rPr>
              <w:t>信托文件约定的其他形式订立信托合同</w:t>
            </w:r>
            <w:r>
              <w:rPr>
                <w:rFonts w:eastAsia="楷体_GB2312" w:hint="eastAsia"/>
                <w:color w:val="000000" w:themeColor="text1"/>
                <w:kern w:val="0"/>
              </w:rPr>
              <w:t>/</w:t>
            </w:r>
            <w:r>
              <w:rPr>
                <w:rFonts w:eastAsia="楷体_GB2312" w:hint="eastAsia"/>
                <w:color w:val="000000" w:themeColor="text1"/>
                <w:kern w:val="0"/>
              </w:rPr>
              <w:t>信托文件，且签署</w:t>
            </w:r>
            <w:r>
              <w:rPr>
                <w:rFonts w:eastAsia="楷体_GB2312" w:hint="eastAsia"/>
                <w:color w:val="000000" w:themeColor="text1"/>
                <w:kern w:val="0"/>
              </w:rPr>
              <w:t>/</w:t>
            </w:r>
            <w:r>
              <w:rPr>
                <w:rFonts w:eastAsia="楷体_GB2312" w:hint="eastAsia"/>
                <w:color w:val="000000" w:themeColor="text1"/>
                <w:kern w:val="0"/>
              </w:rPr>
              <w:t>确认后未经受托人书面同意和确认的，您不得单方撤销、撤回或变更已签署文件。通过与受托人签署本《信托合同》仅视为您单方向受托人提交认购（申购）申请，并不代表您已经成功认购（申购）相应信托单位，认购（</w:t>
            </w:r>
            <w:r>
              <w:rPr>
                <w:rFonts w:eastAsia="楷体_GB2312" w:hint="eastAsia"/>
                <w:color w:val="000000" w:themeColor="text1"/>
                <w:kern w:val="0"/>
              </w:rPr>
              <w:t>申购）结果应以受托人实际通知内容为准</w:t>
            </w:r>
            <w:r>
              <w:rPr>
                <w:rFonts w:eastAsia="楷体_GB2312" w:hint="eastAsia"/>
                <w:color w:val="000000" w:themeColor="text1"/>
                <w:kern w:val="0"/>
              </w:rPr>
              <w:t xml:space="preserve"> </w:t>
            </w:r>
            <w:r>
              <w:rPr>
                <w:rFonts w:eastAsia="楷体_GB2312" w:hint="eastAsia"/>
                <w:color w:val="000000" w:themeColor="text1"/>
                <w:kern w:val="0"/>
              </w:rPr>
              <w:t>。</w:t>
            </w:r>
          </w:p>
        </w:tc>
      </w:tr>
    </w:tbl>
    <w:p w:rsidR="00066166" w:rsidRDefault="00F62BD0">
      <w:pPr>
        <w:spacing w:beforeLines="50" w:before="156" w:afterLines="50" w:after="156" w:line="240" w:lineRule="atLeast"/>
        <w:rPr>
          <w:rFonts w:eastAsia="楷体_GB2312"/>
          <w:b/>
          <w:color w:val="000000" w:themeColor="text1"/>
          <w:sz w:val="28"/>
          <w:szCs w:val="28"/>
        </w:rPr>
      </w:pPr>
      <w:r>
        <w:rPr>
          <w:rFonts w:eastAsia="楷体_GB2312"/>
          <w:i/>
          <w:color w:val="000000" w:themeColor="text1"/>
          <w:sz w:val="24"/>
        </w:rPr>
        <w:br w:type="page"/>
      </w:r>
    </w:p>
    <w:p w:rsidR="00066166" w:rsidRDefault="00F62BD0">
      <w:pPr>
        <w:spacing w:beforeLines="50" w:before="156" w:afterLines="50" w:after="156" w:line="240" w:lineRule="atLeast"/>
        <w:jc w:val="center"/>
        <w:rPr>
          <w:rFonts w:eastAsia="楷体_GB2312"/>
          <w:b/>
          <w:color w:val="000000" w:themeColor="text1"/>
          <w:sz w:val="28"/>
          <w:szCs w:val="28"/>
        </w:rPr>
      </w:pPr>
      <w:r>
        <w:rPr>
          <w:rFonts w:eastAsia="楷体_GB2312"/>
          <w:b/>
          <w:color w:val="000000" w:themeColor="text1"/>
          <w:sz w:val="28"/>
          <w:szCs w:val="28"/>
        </w:rPr>
        <w:t>签</w:t>
      </w:r>
      <w:r>
        <w:rPr>
          <w:rFonts w:eastAsia="楷体_GB2312" w:hint="eastAsia"/>
          <w:b/>
          <w:color w:val="000000" w:themeColor="text1"/>
          <w:sz w:val="28"/>
          <w:szCs w:val="28"/>
        </w:rPr>
        <w:t>署</w:t>
      </w:r>
      <w:r>
        <w:rPr>
          <w:rFonts w:eastAsia="楷体_GB2312"/>
          <w:b/>
          <w:color w:val="000000" w:themeColor="text1"/>
          <w:sz w:val="28"/>
          <w:szCs w:val="28"/>
        </w:rPr>
        <w:t>页</w:t>
      </w:r>
    </w:p>
    <w:p w:rsidR="00066166" w:rsidRDefault="00F62BD0">
      <w:pPr>
        <w:spacing w:beforeLines="50" w:before="156" w:afterLines="50" w:after="156" w:line="240" w:lineRule="atLeast"/>
        <w:rPr>
          <w:rFonts w:eastAsia="楷体_GB2312"/>
          <w:color w:val="000000" w:themeColor="text1"/>
          <w:sz w:val="24"/>
        </w:rPr>
      </w:pPr>
      <w:r>
        <w:rPr>
          <w:rFonts w:eastAsia="楷体_GB2312"/>
          <w:b/>
          <w:color w:val="000000" w:themeColor="text1"/>
          <w:sz w:val="24"/>
        </w:rPr>
        <w:t>委托人</w:t>
      </w:r>
      <w:r>
        <w:rPr>
          <w:rFonts w:eastAsia="楷体_GB2312" w:hint="eastAsia"/>
          <w:b/>
          <w:color w:val="000000" w:themeColor="text1"/>
          <w:sz w:val="24"/>
        </w:rPr>
        <w:t>/</w:t>
      </w:r>
      <w:r>
        <w:rPr>
          <w:rFonts w:eastAsia="楷体_GB2312" w:hint="eastAsia"/>
          <w:b/>
          <w:color w:val="000000" w:themeColor="text1"/>
          <w:sz w:val="24"/>
        </w:rPr>
        <w:t>受益人</w:t>
      </w:r>
      <w:r>
        <w:rPr>
          <w:rFonts w:eastAsia="楷体_GB2312"/>
          <w:b/>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375"/>
      </w:tblGrid>
      <w:tr w:rsidR="00066166">
        <w:trPr>
          <w:trHeight w:val="1242"/>
        </w:trPr>
        <w:tc>
          <w:tcPr>
            <w:tcW w:w="2915" w:type="dxa"/>
            <w:vMerge w:val="restart"/>
          </w:tcPr>
          <w:p w:rsidR="00066166" w:rsidRDefault="00F62BD0">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个人投资者</w:t>
            </w:r>
            <w:r>
              <w:rPr>
                <w:rFonts w:ascii="Times New Roman" w:eastAsia="楷体_GB2312" w:hAnsi="Times New Roman" w:hint="eastAsia"/>
                <w:b/>
                <w:bCs/>
                <w:color w:val="000000" w:themeColor="text1"/>
                <w:kern w:val="2"/>
              </w:rPr>
              <w:t>或其授权代表（</w:t>
            </w:r>
            <w:r>
              <w:rPr>
                <w:rFonts w:ascii="Times New Roman" w:eastAsia="楷体_GB2312" w:hAnsi="Times New Roman"/>
                <w:b/>
                <w:bCs/>
                <w:color w:val="000000" w:themeColor="text1"/>
                <w:kern w:val="2"/>
              </w:rPr>
              <w:t>签字</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tc>
        <w:tc>
          <w:tcPr>
            <w:tcW w:w="5375" w:type="dxa"/>
          </w:tcPr>
          <w:p w:rsidR="00066166" w:rsidRDefault="00F62BD0">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机构投资者（</w:t>
            </w:r>
            <w:r>
              <w:rPr>
                <w:rFonts w:ascii="Times New Roman" w:eastAsia="楷体_GB2312" w:hAnsi="Times New Roman" w:hint="eastAsia"/>
                <w:b/>
                <w:bCs/>
                <w:color w:val="000000" w:themeColor="text1"/>
                <w:kern w:val="2"/>
              </w:rPr>
              <w:t>盖</w:t>
            </w:r>
            <w:r>
              <w:rPr>
                <w:rFonts w:ascii="Times New Roman" w:eastAsia="楷体_GB2312" w:hAnsi="Times New Roman"/>
                <w:b/>
                <w:bCs/>
                <w:color w:val="000000" w:themeColor="text1"/>
                <w:kern w:val="2"/>
              </w:rPr>
              <w:t>章</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r>
      <w:tr w:rsidR="00066166">
        <w:trPr>
          <w:trHeight w:val="1293"/>
        </w:trPr>
        <w:tc>
          <w:tcPr>
            <w:tcW w:w="2915" w:type="dxa"/>
            <w:vMerge/>
          </w:tcPr>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c>
          <w:tcPr>
            <w:tcW w:w="5375" w:type="dxa"/>
          </w:tcPr>
          <w:p w:rsidR="00066166" w:rsidRDefault="00F62BD0">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hint="eastAsia"/>
                <w:b/>
                <w:bCs/>
                <w:color w:val="000000" w:themeColor="text1"/>
                <w:kern w:val="2"/>
              </w:rPr>
              <w:t>机构投资者的法定代表人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负责人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管理人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执行事务合伙人委派代表，或其授权代表</w:t>
            </w:r>
          </w:p>
          <w:p w:rsidR="00066166" w:rsidRDefault="00F62BD0">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（签字或</w:t>
            </w:r>
            <w:r>
              <w:rPr>
                <w:rFonts w:ascii="Times New Roman" w:eastAsia="楷体_GB2312" w:hAnsi="Times New Roman" w:hint="eastAsia"/>
                <w:b/>
                <w:bCs/>
                <w:color w:val="000000" w:themeColor="text1"/>
                <w:kern w:val="2"/>
              </w:rPr>
              <w:t>签</w:t>
            </w:r>
            <w:r>
              <w:rPr>
                <w:rFonts w:ascii="Times New Roman" w:eastAsia="楷体_GB2312" w:hAnsi="Times New Roman"/>
                <w:b/>
                <w:bCs/>
                <w:color w:val="000000" w:themeColor="text1"/>
                <w:kern w:val="2"/>
              </w:rPr>
              <w:t>章</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rsidR="00066166" w:rsidRDefault="00066166">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r>
    </w:tbl>
    <w:p w:rsidR="00066166" w:rsidRDefault="00F62BD0">
      <w:pPr>
        <w:spacing w:beforeLines="50" w:before="156" w:afterLines="50" w:after="156" w:line="276" w:lineRule="auto"/>
        <w:rPr>
          <w:rFonts w:eastAsia="楷体_GB2312"/>
          <w:color w:val="000000" w:themeColor="text1"/>
          <w:sz w:val="24"/>
        </w:rPr>
      </w:pPr>
      <w:r>
        <w:rPr>
          <w:rFonts w:eastAsia="楷体_GB2312" w:hint="eastAsia"/>
          <w:color w:val="000000" w:themeColor="text1"/>
          <w:sz w:val="24"/>
        </w:rPr>
        <w:t>上述签字页如出现乱码、空白、错误或无任何显示并不构成对信托合同</w:t>
      </w:r>
      <w:r>
        <w:rPr>
          <w:rFonts w:eastAsia="楷体_GB2312" w:hint="eastAsia"/>
          <w:color w:val="000000" w:themeColor="text1"/>
          <w:sz w:val="24"/>
        </w:rPr>
        <w:t>/</w:t>
      </w:r>
      <w:r>
        <w:rPr>
          <w:rFonts w:eastAsia="楷体_GB2312" w:hint="eastAsia"/>
          <w:color w:val="000000" w:themeColor="text1"/>
          <w:sz w:val="24"/>
        </w:rPr>
        <w:t>信托文件签署效力的影响，具体以受托人生成或存储的数据为准。</w:t>
      </w:r>
    </w:p>
    <w:p w:rsidR="00066166" w:rsidRDefault="00066166">
      <w:pPr>
        <w:spacing w:beforeLines="50" w:before="156" w:afterLines="50" w:after="156" w:line="240" w:lineRule="atLeast"/>
        <w:rPr>
          <w:rFonts w:eastAsia="楷体_GB2312"/>
          <w:color w:val="000000" w:themeColor="text1"/>
          <w:sz w:val="24"/>
        </w:rPr>
      </w:pPr>
    </w:p>
    <w:p w:rsidR="00066166" w:rsidRDefault="00F62BD0">
      <w:pPr>
        <w:spacing w:beforeLines="50" w:before="156" w:afterLines="50" w:after="156" w:line="240" w:lineRule="atLeast"/>
        <w:rPr>
          <w:rFonts w:eastAsia="楷体_GB2312"/>
          <w:b/>
          <w:color w:val="000000" w:themeColor="text1"/>
          <w:sz w:val="24"/>
        </w:rPr>
      </w:pPr>
      <w:r>
        <w:rPr>
          <w:rFonts w:eastAsia="楷体_GB2312"/>
          <w:b/>
          <w:color w:val="000000" w:themeColor="text1"/>
          <w:sz w:val="24"/>
        </w:rPr>
        <w:t>受托人：</w:t>
      </w:r>
    </w:p>
    <w:p w:rsidR="00066166" w:rsidRDefault="00F62BD0">
      <w:pPr>
        <w:spacing w:beforeLines="50" w:before="156" w:afterLines="50" w:after="156" w:line="240" w:lineRule="atLeast"/>
        <w:rPr>
          <w:rFonts w:eastAsia="楷体_GB2312"/>
          <w:b/>
          <w:color w:val="000000" w:themeColor="text1"/>
          <w:sz w:val="24"/>
        </w:rPr>
      </w:pPr>
      <w:r>
        <w:rPr>
          <w:rFonts w:eastAsia="楷体_GB2312"/>
          <w:b/>
          <w:color w:val="000000" w:themeColor="text1"/>
          <w:sz w:val="24"/>
        </w:rPr>
        <w:t>五矿国际信托有限公司</w:t>
      </w:r>
      <w:r>
        <w:rPr>
          <w:rFonts w:eastAsia="楷体_GB2312" w:hint="eastAsia"/>
          <w:b/>
          <w:color w:val="000000" w:themeColor="text1"/>
          <w:sz w:val="24"/>
        </w:rPr>
        <w:t>（公章或合同专用章或电子印鉴）</w:t>
      </w:r>
    </w:p>
    <w:p w:rsidR="00066166" w:rsidRDefault="00066166">
      <w:pPr>
        <w:spacing w:beforeLines="50" w:before="156" w:afterLines="50" w:after="156" w:line="240" w:lineRule="atLeast"/>
        <w:rPr>
          <w:rFonts w:eastAsia="楷体_GB2312"/>
          <w:color w:val="000000" w:themeColor="text1"/>
          <w:sz w:val="24"/>
        </w:rPr>
      </w:pPr>
    </w:p>
    <w:p w:rsidR="00066166" w:rsidRDefault="00F62BD0">
      <w:pPr>
        <w:spacing w:beforeLines="50" w:before="156" w:afterLines="50" w:after="156" w:line="240" w:lineRule="atLeast"/>
        <w:rPr>
          <w:rFonts w:eastAsia="楷体_GB2312"/>
          <w:color w:val="000000" w:themeColor="text1"/>
          <w:sz w:val="24"/>
        </w:rPr>
      </w:pPr>
      <w:r>
        <w:rPr>
          <w:rFonts w:eastAsia="楷体_GB2312"/>
          <w:b/>
          <w:bCs/>
          <w:color w:val="000000" w:themeColor="text1"/>
          <w:sz w:val="24"/>
        </w:rPr>
        <w:t>法定代表人或授权代表（签字或签章</w:t>
      </w:r>
      <w:r>
        <w:rPr>
          <w:rFonts w:eastAsia="楷体_GB2312" w:hint="eastAsia"/>
          <w:b/>
          <w:bCs/>
          <w:color w:val="000000" w:themeColor="text1"/>
          <w:sz w:val="24"/>
        </w:rPr>
        <w:t>或电子印鉴</w:t>
      </w:r>
      <w:r>
        <w:rPr>
          <w:rFonts w:eastAsia="楷体_GB2312"/>
          <w:b/>
          <w:bCs/>
          <w:color w:val="000000" w:themeColor="text1"/>
          <w:sz w:val="24"/>
        </w:rPr>
        <w:t>）</w:t>
      </w:r>
    </w:p>
    <w:p w:rsidR="00066166" w:rsidRDefault="00F62BD0">
      <w:pPr>
        <w:spacing w:line="240" w:lineRule="atLeast"/>
        <w:rPr>
          <w:rFonts w:eastAsia="楷体_GB2312"/>
          <w:b/>
          <w:color w:val="000000" w:themeColor="text1"/>
          <w:sz w:val="24"/>
        </w:rPr>
      </w:pPr>
      <w:r>
        <w:rPr>
          <w:rFonts w:eastAsia="楷体_GB2312" w:hint="eastAsia"/>
          <w:b/>
          <w:color w:val="000000" w:themeColor="text1"/>
          <w:sz w:val="24"/>
        </w:rPr>
        <w:t>签署日期</w:t>
      </w:r>
    </w:p>
    <w:p w:rsidR="00066166" w:rsidRDefault="00066166">
      <w:pPr>
        <w:ind w:firstLineChars="200" w:firstLine="560"/>
        <w:jc w:val="left"/>
        <w:rPr>
          <w:color w:val="000000" w:themeColor="text1"/>
          <w:sz w:val="28"/>
          <w:szCs w:val="28"/>
        </w:rPr>
      </w:pPr>
    </w:p>
    <w:p w:rsidR="00066166" w:rsidRDefault="00F62BD0">
      <w:pPr>
        <w:pStyle w:val="1"/>
        <w:tabs>
          <w:tab w:val="left" w:pos="425"/>
        </w:tabs>
        <w:spacing w:beforeLines="100" w:before="312" w:afterLines="100" w:after="312" w:line="300" w:lineRule="auto"/>
        <w:ind w:left="0" w:firstLine="0"/>
        <w:rPr>
          <w:b w:val="0"/>
          <w:color w:val="000000" w:themeColor="text1"/>
        </w:rPr>
      </w:pPr>
      <w:r>
        <w:rPr>
          <w:b w:val="0"/>
          <w:color w:val="000000" w:themeColor="text1"/>
        </w:rPr>
        <w:br w:type="page"/>
      </w:r>
      <w:bookmarkStart w:id="351" w:name="_Hlk42528139"/>
      <w:bookmarkEnd w:id="351"/>
    </w:p>
    <w:p w:rsidR="00066166" w:rsidRDefault="00F62BD0">
      <w:pPr>
        <w:spacing w:beforeLines="50" w:before="156" w:afterLines="50" w:after="156" w:line="360" w:lineRule="auto"/>
        <w:outlineLvl w:val="0"/>
        <w:rPr>
          <w:rFonts w:eastAsia="楷体_GB2312"/>
          <w:b/>
          <w:sz w:val="24"/>
        </w:rPr>
      </w:pPr>
      <w:bookmarkStart w:id="352" w:name="_Toc59631230"/>
      <w:bookmarkStart w:id="353" w:name="_Toc46056568"/>
      <w:bookmarkStart w:id="354" w:name="_Toc24977186"/>
      <w:bookmarkStart w:id="355" w:name="_Toc91143627"/>
      <w:bookmarkStart w:id="356" w:name="_Toc46069732"/>
      <w:r>
        <w:rPr>
          <w:rFonts w:eastAsia="楷体_GB2312" w:hint="eastAsia"/>
          <w:b/>
          <w:sz w:val="24"/>
        </w:rPr>
        <w:t>附件一：委托人调查问卷</w:t>
      </w:r>
      <w:bookmarkEnd w:id="352"/>
      <w:bookmarkEnd w:id="353"/>
      <w:bookmarkEnd w:id="354"/>
      <w:bookmarkEnd w:id="355"/>
      <w:bookmarkEnd w:id="356"/>
    </w:p>
    <w:p w:rsidR="00066166" w:rsidRDefault="00F62BD0">
      <w:pPr>
        <w:spacing w:line="360" w:lineRule="auto"/>
        <w:jc w:val="center"/>
        <w:rPr>
          <w:rFonts w:ascii="宋体" w:hAnsi="宋体"/>
          <w:b/>
          <w:sz w:val="32"/>
          <w:szCs w:val="32"/>
        </w:rPr>
      </w:pPr>
      <w:r>
        <w:rPr>
          <w:rFonts w:ascii="宋体" w:hAnsi="宋体" w:hint="eastAsia"/>
          <w:b/>
          <w:sz w:val="28"/>
          <w:szCs w:val="32"/>
        </w:rPr>
        <w:t>委托人调查问卷</w:t>
      </w:r>
    </w:p>
    <w:p w:rsidR="00066166" w:rsidRDefault="00F62BD0">
      <w:pPr>
        <w:spacing w:line="360" w:lineRule="auto"/>
        <w:ind w:firstLineChars="150" w:firstLine="315"/>
        <w:rPr>
          <w:rFonts w:ascii="宋体" w:hAnsi="宋体"/>
          <w:szCs w:val="21"/>
        </w:rPr>
      </w:pPr>
      <w:r>
        <w:rPr>
          <w:rFonts w:ascii="宋体" w:hAnsi="宋体" w:hint="eastAsia"/>
          <w:szCs w:val="21"/>
        </w:rPr>
        <w:t>根据银保监会要求，委托人需提交下列情况的问卷调查，本表格中记录信息将受到严格保密，请委托人如实填写：</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请根据贵方的情况选择回答：</w:t>
      </w:r>
    </w:p>
    <w:p w:rsidR="00066166" w:rsidRDefault="00F62BD0">
      <w:pPr>
        <w:numPr>
          <w:ilvl w:val="0"/>
          <w:numId w:val="44"/>
        </w:numPr>
        <w:spacing w:line="360" w:lineRule="auto"/>
        <w:rPr>
          <w:rFonts w:ascii="宋体" w:hAnsi="宋体"/>
          <w:szCs w:val="21"/>
        </w:rPr>
      </w:pPr>
      <w:r>
        <w:rPr>
          <w:rFonts w:ascii="宋体" w:hAnsi="宋体" w:hint="eastAsia"/>
          <w:szCs w:val="21"/>
        </w:rPr>
        <w:t>如果贵方是自然人，贵方或贵方家庭在认购时金融资产总计价值范围是：</w:t>
      </w:r>
    </w:p>
    <w:p w:rsidR="00066166" w:rsidRDefault="00F62BD0">
      <w:pPr>
        <w:spacing w:line="360" w:lineRule="auto"/>
        <w:rPr>
          <w:rFonts w:ascii="宋体" w:hAnsi="宋体"/>
          <w:szCs w:val="21"/>
        </w:rPr>
      </w:pPr>
      <w:r>
        <w:rPr>
          <w:rFonts w:ascii="宋体" w:hAnsi="宋体" w:hint="eastAsia"/>
          <w:szCs w:val="21"/>
        </w:rPr>
        <w:t>□低于</w:t>
      </w:r>
      <w:r>
        <w:rPr>
          <w:rFonts w:ascii="宋体" w:hAnsi="宋体" w:hint="eastAsia"/>
          <w:szCs w:val="21"/>
        </w:rPr>
        <w:t>100</w:t>
      </w:r>
      <w:r>
        <w:rPr>
          <w:rFonts w:ascii="宋体" w:hAnsi="宋体" w:hint="eastAsia"/>
          <w:szCs w:val="21"/>
        </w:rPr>
        <w:t>万元</w:t>
      </w:r>
      <w:r>
        <w:rPr>
          <w:rFonts w:ascii="宋体" w:hAnsi="宋体" w:hint="eastAsia"/>
          <w:szCs w:val="21"/>
        </w:rPr>
        <w:t xml:space="preserve">   </w:t>
      </w:r>
      <w:r>
        <w:rPr>
          <w:rFonts w:ascii="宋体" w:hAnsi="宋体" w:hint="eastAsia"/>
          <w:szCs w:val="21"/>
        </w:rPr>
        <w:t>□超过</w:t>
      </w:r>
      <w:r>
        <w:rPr>
          <w:rFonts w:ascii="宋体" w:hAnsi="宋体" w:hint="eastAsia"/>
          <w:szCs w:val="21"/>
        </w:rPr>
        <w:t>100</w:t>
      </w:r>
      <w:r>
        <w:rPr>
          <w:rFonts w:ascii="宋体" w:hAnsi="宋体" w:hint="eastAsia"/>
          <w:szCs w:val="21"/>
        </w:rPr>
        <w:t>万元</w:t>
      </w:r>
    </w:p>
    <w:p w:rsidR="00066166" w:rsidRDefault="00F62BD0">
      <w:pPr>
        <w:numPr>
          <w:ilvl w:val="0"/>
          <w:numId w:val="44"/>
        </w:numPr>
        <w:spacing w:line="360" w:lineRule="auto"/>
        <w:rPr>
          <w:rFonts w:ascii="宋体" w:hAnsi="宋体"/>
          <w:szCs w:val="21"/>
        </w:rPr>
      </w:pPr>
      <w:r>
        <w:rPr>
          <w:rFonts w:ascii="宋体" w:hAnsi="宋体" w:hint="eastAsia"/>
          <w:szCs w:val="21"/>
        </w:rPr>
        <w:t>如果贵方是自然人，贵方个人收入在最近三年内每年收入范围是：</w:t>
      </w:r>
    </w:p>
    <w:p w:rsidR="00066166" w:rsidRDefault="00F62BD0">
      <w:pPr>
        <w:spacing w:line="360" w:lineRule="auto"/>
        <w:rPr>
          <w:rFonts w:ascii="宋体" w:hAnsi="宋体"/>
          <w:szCs w:val="21"/>
        </w:rPr>
      </w:pPr>
      <w:r>
        <w:rPr>
          <w:rFonts w:ascii="宋体" w:hAnsi="宋体" w:hint="eastAsia"/>
          <w:szCs w:val="21"/>
        </w:rPr>
        <w:t>□</w:t>
      </w:r>
      <w:r>
        <w:rPr>
          <w:rFonts w:ascii="宋体" w:hAnsi="宋体" w:hint="eastAsia"/>
          <w:szCs w:val="21"/>
        </w:rPr>
        <w:t>20</w:t>
      </w:r>
      <w:r>
        <w:rPr>
          <w:rFonts w:ascii="宋体" w:hAnsi="宋体" w:hint="eastAsia"/>
          <w:szCs w:val="21"/>
        </w:rPr>
        <w:t>万元以下</w:t>
      </w:r>
      <w:r>
        <w:rPr>
          <w:rFonts w:ascii="宋体" w:hAnsi="宋体" w:hint="eastAsia"/>
          <w:szCs w:val="21"/>
        </w:rPr>
        <w:t xml:space="preserve">   </w:t>
      </w:r>
      <w:r>
        <w:rPr>
          <w:rFonts w:ascii="宋体" w:hAnsi="宋体" w:hint="eastAsia"/>
          <w:szCs w:val="21"/>
        </w:rPr>
        <w:t>□</w:t>
      </w:r>
      <w:r>
        <w:rPr>
          <w:rFonts w:ascii="宋体" w:hAnsi="宋体" w:hint="eastAsia"/>
          <w:szCs w:val="21"/>
        </w:rPr>
        <w:t>20</w:t>
      </w:r>
      <w:r>
        <w:rPr>
          <w:rFonts w:ascii="宋体" w:hAnsi="宋体" w:hint="eastAsia"/>
          <w:szCs w:val="21"/>
        </w:rPr>
        <w:t>万元—</w:t>
      </w:r>
      <w:r>
        <w:rPr>
          <w:rFonts w:ascii="宋体" w:hAnsi="宋体" w:hint="eastAsia"/>
          <w:szCs w:val="21"/>
        </w:rPr>
        <w:t>50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50</w:t>
      </w:r>
      <w:r>
        <w:rPr>
          <w:rFonts w:ascii="宋体" w:hAnsi="宋体" w:hint="eastAsia"/>
          <w:szCs w:val="21"/>
        </w:rPr>
        <w:t>万元—</w:t>
      </w:r>
      <w:r>
        <w:rPr>
          <w:rFonts w:ascii="宋体" w:hAnsi="宋体" w:hint="eastAsia"/>
          <w:szCs w:val="21"/>
        </w:rPr>
        <w:t>100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100</w:t>
      </w:r>
      <w:r>
        <w:rPr>
          <w:rFonts w:ascii="宋体" w:hAnsi="宋体" w:hint="eastAsia"/>
          <w:szCs w:val="21"/>
        </w:rPr>
        <w:t>万元以上</w:t>
      </w:r>
    </w:p>
    <w:p w:rsidR="00066166" w:rsidRDefault="00F62BD0">
      <w:pPr>
        <w:numPr>
          <w:ilvl w:val="0"/>
          <w:numId w:val="44"/>
        </w:numPr>
        <w:tabs>
          <w:tab w:val="clear" w:pos="420"/>
          <w:tab w:val="left" w:pos="0"/>
        </w:tabs>
        <w:spacing w:line="360" w:lineRule="auto"/>
        <w:ind w:left="0" w:firstLine="0"/>
        <w:rPr>
          <w:rFonts w:ascii="宋体" w:hAnsi="宋体"/>
          <w:szCs w:val="21"/>
        </w:rPr>
      </w:pPr>
      <w:r>
        <w:rPr>
          <w:rFonts w:ascii="宋体" w:hAnsi="宋体" w:hint="eastAsia"/>
          <w:szCs w:val="21"/>
        </w:rPr>
        <w:t>如果贵方是自然人且有配偶，贵夫妻双方合计收入最近三年内的每年收入范围是：</w:t>
      </w:r>
    </w:p>
    <w:p w:rsidR="00066166" w:rsidRDefault="00F62BD0">
      <w:pPr>
        <w:spacing w:line="360" w:lineRule="auto"/>
        <w:rPr>
          <w:rFonts w:ascii="宋体" w:hAnsi="宋体"/>
          <w:szCs w:val="21"/>
        </w:rPr>
      </w:pPr>
      <w:r>
        <w:rPr>
          <w:rFonts w:ascii="宋体" w:hAnsi="宋体" w:hint="eastAsia"/>
          <w:szCs w:val="21"/>
        </w:rPr>
        <w:t>□</w:t>
      </w:r>
      <w:r>
        <w:rPr>
          <w:rFonts w:ascii="宋体" w:hAnsi="宋体" w:hint="eastAsia"/>
          <w:szCs w:val="21"/>
        </w:rPr>
        <w:t>20</w:t>
      </w:r>
      <w:r>
        <w:rPr>
          <w:rFonts w:ascii="宋体" w:hAnsi="宋体" w:hint="eastAsia"/>
          <w:szCs w:val="21"/>
        </w:rPr>
        <w:t>万元以下</w:t>
      </w:r>
      <w:r>
        <w:rPr>
          <w:rFonts w:ascii="宋体" w:hAnsi="宋体" w:hint="eastAsia"/>
          <w:szCs w:val="21"/>
        </w:rPr>
        <w:t xml:space="preserve">   </w:t>
      </w:r>
      <w:r>
        <w:rPr>
          <w:rFonts w:ascii="宋体" w:hAnsi="宋体" w:hint="eastAsia"/>
          <w:szCs w:val="21"/>
        </w:rPr>
        <w:t>□</w:t>
      </w:r>
      <w:r>
        <w:rPr>
          <w:rFonts w:ascii="宋体" w:hAnsi="宋体" w:hint="eastAsia"/>
          <w:szCs w:val="21"/>
        </w:rPr>
        <w:t>20</w:t>
      </w:r>
      <w:r>
        <w:rPr>
          <w:rFonts w:ascii="宋体" w:hAnsi="宋体" w:hint="eastAsia"/>
          <w:szCs w:val="21"/>
        </w:rPr>
        <w:t>万元—</w:t>
      </w:r>
      <w:r>
        <w:rPr>
          <w:rFonts w:ascii="宋体" w:hAnsi="宋体" w:hint="eastAsia"/>
          <w:szCs w:val="21"/>
        </w:rPr>
        <w:t>50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50</w:t>
      </w:r>
      <w:r>
        <w:rPr>
          <w:rFonts w:ascii="宋体" w:hAnsi="宋体" w:hint="eastAsia"/>
          <w:szCs w:val="21"/>
        </w:rPr>
        <w:t>万元—</w:t>
      </w:r>
      <w:r>
        <w:rPr>
          <w:rFonts w:ascii="宋体" w:hAnsi="宋体" w:hint="eastAsia"/>
          <w:szCs w:val="21"/>
        </w:rPr>
        <w:t>100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100</w:t>
      </w:r>
      <w:r>
        <w:rPr>
          <w:rFonts w:ascii="宋体" w:hAnsi="宋体" w:hint="eastAsia"/>
          <w:szCs w:val="21"/>
        </w:rPr>
        <w:t>万元以上</w:t>
      </w:r>
    </w:p>
    <w:p w:rsidR="00066166" w:rsidRDefault="00F62BD0">
      <w:pPr>
        <w:numPr>
          <w:ilvl w:val="0"/>
          <w:numId w:val="44"/>
        </w:numPr>
        <w:spacing w:line="360" w:lineRule="auto"/>
        <w:rPr>
          <w:rFonts w:ascii="宋体" w:hAnsi="宋体"/>
          <w:szCs w:val="21"/>
        </w:rPr>
      </w:pPr>
      <w:r>
        <w:rPr>
          <w:rFonts w:ascii="宋体" w:hAnsi="宋体" w:hint="eastAsia"/>
          <w:szCs w:val="21"/>
        </w:rPr>
        <w:t>如果贵方是机构投资者，贵方的注册资本是：</w:t>
      </w:r>
    </w:p>
    <w:p w:rsidR="00066166" w:rsidRDefault="00F62BD0">
      <w:pPr>
        <w:spacing w:line="360" w:lineRule="auto"/>
        <w:rPr>
          <w:rFonts w:ascii="宋体" w:hAnsi="宋体"/>
          <w:szCs w:val="21"/>
        </w:rPr>
      </w:pPr>
      <w:r>
        <w:rPr>
          <w:rFonts w:ascii="宋体" w:hAnsi="宋体" w:hint="eastAsia"/>
          <w:szCs w:val="21"/>
        </w:rPr>
        <w:t>□</w:t>
      </w:r>
      <w:r>
        <w:rPr>
          <w:rFonts w:ascii="宋体" w:hAnsi="宋体" w:hint="eastAsia"/>
          <w:szCs w:val="21"/>
        </w:rPr>
        <w:t>300</w:t>
      </w:r>
      <w:r>
        <w:rPr>
          <w:rFonts w:ascii="宋体" w:hAnsi="宋体" w:hint="eastAsia"/>
          <w:szCs w:val="21"/>
        </w:rPr>
        <w:t>万元以下</w:t>
      </w:r>
      <w:r>
        <w:rPr>
          <w:rFonts w:ascii="宋体" w:hAnsi="宋体" w:hint="eastAsia"/>
          <w:szCs w:val="21"/>
        </w:rPr>
        <w:t xml:space="preserve">   </w:t>
      </w:r>
      <w:r>
        <w:rPr>
          <w:rFonts w:ascii="宋体" w:hAnsi="宋体" w:hint="eastAsia"/>
          <w:szCs w:val="21"/>
        </w:rPr>
        <w:t>□</w:t>
      </w:r>
      <w:r>
        <w:rPr>
          <w:rFonts w:ascii="宋体" w:hAnsi="宋体" w:hint="eastAsia"/>
          <w:szCs w:val="21"/>
        </w:rPr>
        <w:t>300</w:t>
      </w:r>
      <w:r>
        <w:rPr>
          <w:rFonts w:ascii="宋体" w:hAnsi="宋体" w:hint="eastAsia"/>
          <w:szCs w:val="21"/>
        </w:rPr>
        <w:t>万元—</w:t>
      </w:r>
      <w:r>
        <w:rPr>
          <w:rFonts w:ascii="宋体" w:hAnsi="宋体" w:hint="eastAsia"/>
          <w:szCs w:val="21"/>
        </w:rPr>
        <w:t>1000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1000</w:t>
      </w:r>
      <w:r>
        <w:rPr>
          <w:rFonts w:ascii="宋体" w:hAnsi="宋体" w:hint="eastAsia"/>
          <w:szCs w:val="21"/>
        </w:rPr>
        <w:t>万元—</w:t>
      </w:r>
      <w:r>
        <w:rPr>
          <w:rFonts w:ascii="宋体" w:hAnsi="宋体" w:hint="eastAsia"/>
          <w:szCs w:val="21"/>
        </w:rPr>
        <w:t>3000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3000</w:t>
      </w:r>
      <w:r>
        <w:rPr>
          <w:rFonts w:ascii="宋体" w:hAnsi="宋体" w:hint="eastAsia"/>
          <w:szCs w:val="21"/>
        </w:rPr>
        <w:t>万元以上</w:t>
      </w:r>
    </w:p>
    <w:p w:rsidR="00066166" w:rsidRDefault="00F62BD0">
      <w:pPr>
        <w:numPr>
          <w:ilvl w:val="0"/>
          <w:numId w:val="44"/>
        </w:numPr>
        <w:spacing w:line="360" w:lineRule="auto"/>
        <w:rPr>
          <w:rFonts w:ascii="宋体" w:hAnsi="宋体"/>
          <w:szCs w:val="21"/>
        </w:rPr>
      </w:pPr>
      <w:r>
        <w:rPr>
          <w:rFonts w:ascii="宋体" w:hAnsi="宋体" w:hint="eastAsia"/>
          <w:szCs w:val="21"/>
        </w:rPr>
        <w:t>如果贵方是机构投资者，贵方的净资产是：</w:t>
      </w:r>
    </w:p>
    <w:p w:rsidR="00066166" w:rsidRDefault="00F62BD0">
      <w:pPr>
        <w:spacing w:line="360" w:lineRule="auto"/>
        <w:rPr>
          <w:rFonts w:ascii="宋体" w:hAnsi="宋体"/>
          <w:szCs w:val="21"/>
        </w:rPr>
      </w:pPr>
      <w:r>
        <w:rPr>
          <w:rFonts w:ascii="宋体" w:hAnsi="宋体" w:hint="eastAsia"/>
          <w:szCs w:val="21"/>
        </w:rPr>
        <w:t>□</w:t>
      </w:r>
      <w:r>
        <w:rPr>
          <w:rFonts w:ascii="宋体" w:hAnsi="宋体" w:hint="eastAsia"/>
          <w:szCs w:val="21"/>
        </w:rPr>
        <w:t>300</w:t>
      </w:r>
      <w:r>
        <w:rPr>
          <w:rFonts w:ascii="宋体" w:hAnsi="宋体" w:hint="eastAsia"/>
          <w:szCs w:val="21"/>
        </w:rPr>
        <w:t>万元以下</w:t>
      </w:r>
      <w:r>
        <w:rPr>
          <w:rFonts w:ascii="宋体" w:hAnsi="宋体" w:hint="eastAsia"/>
          <w:szCs w:val="21"/>
        </w:rPr>
        <w:t xml:space="preserve">   </w:t>
      </w:r>
      <w:r>
        <w:rPr>
          <w:rFonts w:ascii="宋体" w:hAnsi="宋体" w:hint="eastAsia"/>
          <w:szCs w:val="21"/>
        </w:rPr>
        <w:t>□</w:t>
      </w:r>
      <w:r>
        <w:rPr>
          <w:rFonts w:ascii="宋体" w:hAnsi="宋体" w:hint="eastAsia"/>
          <w:szCs w:val="21"/>
        </w:rPr>
        <w:t>300</w:t>
      </w:r>
      <w:r>
        <w:rPr>
          <w:rFonts w:ascii="宋体" w:hAnsi="宋体" w:hint="eastAsia"/>
          <w:szCs w:val="21"/>
        </w:rPr>
        <w:t>万元—</w:t>
      </w:r>
      <w:r>
        <w:rPr>
          <w:rFonts w:ascii="宋体" w:hAnsi="宋体" w:hint="eastAsia"/>
          <w:szCs w:val="21"/>
        </w:rPr>
        <w:t>1000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1000</w:t>
      </w:r>
      <w:r>
        <w:rPr>
          <w:rFonts w:ascii="宋体" w:hAnsi="宋体" w:hint="eastAsia"/>
          <w:szCs w:val="21"/>
        </w:rPr>
        <w:t>万元—</w:t>
      </w:r>
      <w:r>
        <w:rPr>
          <w:rFonts w:ascii="宋体" w:hAnsi="宋体" w:hint="eastAsia"/>
          <w:szCs w:val="21"/>
        </w:rPr>
        <w:t>3000</w:t>
      </w:r>
      <w:r>
        <w:rPr>
          <w:rFonts w:ascii="宋体" w:hAnsi="宋体" w:hint="eastAsia"/>
          <w:szCs w:val="21"/>
        </w:rPr>
        <w:t>万元</w:t>
      </w:r>
      <w:r>
        <w:rPr>
          <w:rFonts w:ascii="宋体" w:hAnsi="宋体" w:hint="eastAsia"/>
          <w:szCs w:val="21"/>
        </w:rPr>
        <w:t xml:space="preserve">  </w:t>
      </w:r>
      <w:r>
        <w:rPr>
          <w:rFonts w:ascii="宋体" w:hAnsi="宋体" w:hint="eastAsia"/>
          <w:szCs w:val="21"/>
        </w:rPr>
        <w:t>□</w:t>
      </w:r>
      <w:r>
        <w:rPr>
          <w:rFonts w:ascii="宋体" w:hAnsi="宋体" w:hint="eastAsia"/>
          <w:szCs w:val="21"/>
        </w:rPr>
        <w:t>3000</w:t>
      </w:r>
      <w:r>
        <w:rPr>
          <w:rFonts w:ascii="宋体" w:hAnsi="宋体" w:hint="eastAsia"/>
          <w:szCs w:val="21"/>
        </w:rPr>
        <w:t>万元以上</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贵方的收入是否稳定？</w:t>
      </w:r>
    </w:p>
    <w:p w:rsidR="00066166" w:rsidRDefault="00F62BD0">
      <w:pPr>
        <w:spacing w:line="360" w:lineRule="auto"/>
        <w:rPr>
          <w:rFonts w:ascii="宋体" w:hAnsi="宋体"/>
          <w:szCs w:val="21"/>
        </w:rPr>
      </w:pPr>
      <w:r>
        <w:rPr>
          <w:rFonts w:ascii="宋体" w:hAnsi="宋体" w:hint="eastAsia"/>
          <w:szCs w:val="21"/>
        </w:rPr>
        <w:t>□不稳定</w:t>
      </w:r>
      <w:r>
        <w:rPr>
          <w:rFonts w:ascii="宋体" w:hAnsi="宋体" w:hint="eastAsia"/>
          <w:szCs w:val="21"/>
        </w:rPr>
        <w:t xml:space="preserve">   </w:t>
      </w:r>
      <w:r>
        <w:rPr>
          <w:rFonts w:ascii="宋体" w:hAnsi="宋体" w:hint="eastAsia"/>
          <w:szCs w:val="21"/>
        </w:rPr>
        <w:t>□一般</w:t>
      </w:r>
      <w:r>
        <w:rPr>
          <w:rFonts w:ascii="宋体" w:hAnsi="宋体" w:hint="eastAsia"/>
          <w:szCs w:val="21"/>
        </w:rPr>
        <w:t>    </w:t>
      </w:r>
      <w:r>
        <w:rPr>
          <w:rFonts w:ascii="宋体" w:hAnsi="宋体" w:hint="eastAsia"/>
          <w:szCs w:val="21"/>
        </w:rPr>
        <w:t>□稳定</w:t>
      </w:r>
      <w:r>
        <w:rPr>
          <w:rFonts w:ascii="宋体" w:hAnsi="宋体" w:hint="eastAsia"/>
          <w:szCs w:val="21"/>
        </w:rPr>
        <w:t xml:space="preserve">   </w:t>
      </w:r>
      <w:r>
        <w:rPr>
          <w:rFonts w:ascii="宋体" w:hAnsi="宋体" w:hint="eastAsia"/>
          <w:szCs w:val="21"/>
        </w:rPr>
        <w:t>□</w:t>
      </w:r>
      <w:r>
        <w:rPr>
          <w:rFonts w:ascii="宋体" w:hAnsi="宋体" w:hint="eastAsia"/>
          <w:szCs w:val="21"/>
        </w:rPr>
        <w:t> </w:t>
      </w:r>
      <w:r>
        <w:rPr>
          <w:rFonts w:ascii="宋体" w:hAnsi="宋体" w:hint="eastAsia"/>
          <w:szCs w:val="21"/>
        </w:rPr>
        <w:t>非常稳定</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贵方的金融产品投资经验有几年？</w:t>
      </w:r>
    </w:p>
    <w:p w:rsidR="00066166" w:rsidRDefault="00F62BD0">
      <w:pPr>
        <w:spacing w:line="360" w:lineRule="auto"/>
        <w:rPr>
          <w:rFonts w:ascii="宋体" w:hAnsi="宋体"/>
          <w:szCs w:val="21"/>
        </w:rPr>
      </w:pPr>
      <w:r>
        <w:rPr>
          <w:rFonts w:ascii="宋体" w:hAnsi="宋体" w:hint="eastAsia"/>
          <w:szCs w:val="21"/>
        </w:rPr>
        <w:t>□无经验</w:t>
      </w:r>
      <w:r>
        <w:rPr>
          <w:rFonts w:ascii="宋体" w:hAnsi="宋体" w:hint="eastAsia"/>
          <w:szCs w:val="21"/>
        </w:rPr>
        <w:tab/>
        <w:t xml:space="preserve">    </w:t>
      </w:r>
      <w:r>
        <w:rPr>
          <w:rFonts w:ascii="宋体" w:hAnsi="宋体" w:hint="eastAsia"/>
          <w:szCs w:val="21"/>
        </w:rPr>
        <w:t>□一年以</w:t>
      </w:r>
      <w:r>
        <w:rPr>
          <w:rFonts w:ascii="宋体" w:hAnsi="宋体" w:hint="eastAsia"/>
          <w:szCs w:val="21"/>
        </w:rPr>
        <w:t>下</w:t>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3 </w:t>
      </w:r>
      <w:r>
        <w:rPr>
          <w:rFonts w:ascii="宋体" w:hAnsi="宋体" w:hint="eastAsia"/>
          <w:szCs w:val="21"/>
        </w:rPr>
        <w:t>年</w:t>
      </w:r>
      <w:r>
        <w:rPr>
          <w:rFonts w:ascii="宋体" w:hAnsi="宋体" w:hint="eastAsia"/>
          <w:szCs w:val="21"/>
        </w:rPr>
        <w:t xml:space="preserve"> </w:t>
      </w:r>
      <w:r>
        <w:rPr>
          <w:rFonts w:ascii="宋体" w:hAnsi="宋体" w:hint="eastAsia"/>
          <w:szCs w:val="21"/>
        </w:rPr>
        <w:tab/>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年</w:t>
      </w: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年以上</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贵方对金融风险的熟悉程度如何？</w:t>
      </w:r>
    </w:p>
    <w:p w:rsidR="00066166" w:rsidRDefault="00F62BD0">
      <w:pPr>
        <w:spacing w:line="360" w:lineRule="auto"/>
        <w:rPr>
          <w:rFonts w:ascii="宋体" w:hAnsi="宋体"/>
          <w:szCs w:val="21"/>
        </w:rPr>
      </w:pPr>
      <w:r>
        <w:rPr>
          <w:rFonts w:ascii="宋体" w:hAnsi="宋体" w:hint="eastAsia"/>
          <w:szCs w:val="21"/>
        </w:rPr>
        <w:t>□不知道</w:t>
      </w:r>
      <w:r>
        <w:rPr>
          <w:rFonts w:ascii="宋体" w:hAnsi="宋体" w:hint="eastAsia"/>
          <w:szCs w:val="21"/>
        </w:rPr>
        <w:t xml:space="preserve">    </w:t>
      </w:r>
      <w:r>
        <w:rPr>
          <w:rFonts w:ascii="宋体" w:hAnsi="宋体" w:hint="eastAsia"/>
          <w:szCs w:val="21"/>
        </w:rPr>
        <w:t>□知道很少</w:t>
      </w:r>
      <w:r>
        <w:rPr>
          <w:rFonts w:ascii="宋体" w:hAnsi="宋体" w:hint="eastAsia"/>
          <w:szCs w:val="21"/>
        </w:rPr>
        <w:t xml:space="preserve">    </w:t>
      </w:r>
      <w:r>
        <w:rPr>
          <w:rFonts w:ascii="宋体" w:hAnsi="宋体" w:hint="eastAsia"/>
          <w:szCs w:val="21"/>
        </w:rPr>
        <w:t>□比较熟悉</w:t>
      </w:r>
      <w:r>
        <w:rPr>
          <w:rFonts w:ascii="宋体" w:hAnsi="宋体" w:hint="eastAsia"/>
          <w:szCs w:val="21"/>
        </w:rPr>
        <w:t xml:space="preserve">    </w:t>
      </w:r>
      <w:r>
        <w:rPr>
          <w:rFonts w:ascii="宋体" w:hAnsi="宋体" w:hint="eastAsia"/>
          <w:szCs w:val="21"/>
        </w:rPr>
        <w:t>□非常熟悉</w:t>
      </w:r>
      <w:r>
        <w:rPr>
          <w:rFonts w:ascii="宋体" w:hAnsi="宋体" w:hint="eastAsia"/>
          <w:szCs w:val="21"/>
        </w:rPr>
        <w:t xml:space="preserve"> </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哪项最能贴切形容您的风险承受程度？</w:t>
      </w:r>
    </w:p>
    <w:p w:rsidR="00066166" w:rsidRDefault="00F62BD0">
      <w:pPr>
        <w:spacing w:line="360" w:lineRule="auto"/>
        <w:rPr>
          <w:rFonts w:ascii="宋体" w:hAnsi="宋体"/>
          <w:szCs w:val="21"/>
        </w:rPr>
      </w:pPr>
      <w:r>
        <w:rPr>
          <w:rFonts w:ascii="宋体" w:hAnsi="宋体" w:hint="eastAsia"/>
          <w:szCs w:val="21"/>
        </w:rPr>
        <w:t>□保守</w:t>
      </w:r>
      <w:r>
        <w:rPr>
          <w:rFonts w:ascii="宋体" w:hAnsi="宋体" w:hint="eastAsia"/>
          <w:szCs w:val="21"/>
        </w:rPr>
        <w:t>\</w:t>
      </w:r>
      <w:r>
        <w:rPr>
          <w:rFonts w:ascii="宋体" w:hAnsi="宋体" w:hint="eastAsia"/>
          <w:szCs w:val="21"/>
        </w:rPr>
        <w:t>低</w:t>
      </w:r>
      <w:r>
        <w:rPr>
          <w:rFonts w:ascii="宋体" w:hAnsi="宋体" w:hint="eastAsia"/>
          <w:szCs w:val="21"/>
        </w:rPr>
        <w:tab/>
        <w:t xml:space="preserve">   </w:t>
      </w:r>
      <w:r>
        <w:rPr>
          <w:rFonts w:ascii="宋体" w:hAnsi="宋体" w:hint="eastAsia"/>
          <w:szCs w:val="21"/>
        </w:rPr>
        <w:t>□均衡</w:t>
      </w:r>
      <w:r>
        <w:rPr>
          <w:rFonts w:ascii="宋体" w:hAnsi="宋体" w:hint="eastAsia"/>
          <w:szCs w:val="21"/>
        </w:rPr>
        <w:t>\</w:t>
      </w:r>
      <w:r>
        <w:rPr>
          <w:rFonts w:ascii="宋体" w:hAnsi="宋体" w:hint="eastAsia"/>
          <w:szCs w:val="21"/>
        </w:rPr>
        <w:t>中</w:t>
      </w:r>
      <w:r>
        <w:rPr>
          <w:rFonts w:ascii="宋体" w:hAnsi="宋体" w:hint="eastAsia"/>
          <w:szCs w:val="21"/>
        </w:rPr>
        <w:tab/>
        <w:t xml:space="preserve">  </w:t>
      </w:r>
      <w:r>
        <w:rPr>
          <w:rFonts w:ascii="宋体" w:hAnsi="宋体" w:hint="eastAsia"/>
          <w:szCs w:val="21"/>
        </w:rPr>
        <w:t>□增长</w:t>
      </w:r>
      <w:r>
        <w:rPr>
          <w:rFonts w:ascii="宋体" w:hAnsi="宋体" w:hint="eastAsia"/>
          <w:szCs w:val="21"/>
        </w:rPr>
        <w:t>\</w:t>
      </w:r>
      <w:r>
        <w:rPr>
          <w:rFonts w:ascii="宋体" w:hAnsi="宋体" w:hint="eastAsia"/>
          <w:szCs w:val="21"/>
        </w:rPr>
        <w:t>高</w:t>
      </w:r>
      <w:r>
        <w:rPr>
          <w:rFonts w:ascii="宋体" w:hAnsi="宋体" w:hint="eastAsia"/>
          <w:szCs w:val="21"/>
        </w:rPr>
        <w:tab/>
        <w:t xml:space="preserve">    </w:t>
      </w:r>
      <w:r>
        <w:rPr>
          <w:rFonts w:ascii="宋体" w:hAnsi="宋体" w:hint="eastAsia"/>
          <w:szCs w:val="21"/>
        </w:rPr>
        <w:t>□进取</w:t>
      </w:r>
      <w:r>
        <w:rPr>
          <w:rFonts w:ascii="宋体" w:hAnsi="宋体" w:hint="eastAsia"/>
          <w:szCs w:val="21"/>
        </w:rPr>
        <w:t>\</w:t>
      </w:r>
      <w:r>
        <w:rPr>
          <w:rFonts w:ascii="宋体" w:hAnsi="宋体" w:hint="eastAsia"/>
          <w:szCs w:val="21"/>
        </w:rPr>
        <w:t>极高</w:t>
      </w:r>
    </w:p>
    <w:p w:rsidR="00066166" w:rsidRDefault="00F62BD0">
      <w:pPr>
        <w:numPr>
          <w:ilvl w:val="0"/>
          <w:numId w:val="43"/>
        </w:numPr>
        <w:spacing w:before="100" w:beforeAutospacing="1" w:line="360" w:lineRule="auto"/>
        <w:ind w:left="357" w:hanging="357"/>
        <w:rPr>
          <w:rFonts w:ascii="宋体" w:hAnsi="宋体"/>
          <w:szCs w:val="21"/>
        </w:rPr>
      </w:pPr>
      <w:r>
        <w:rPr>
          <w:rFonts w:ascii="宋体" w:hAnsi="宋体" w:hint="eastAsia"/>
          <w:szCs w:val="21"/>
        </w:rPr>
        <w:t>贵方对信托制度和相关法规的了解程度如何？</w:t>
      </w:r>
    </w:p>
    <w:p w:rsidR="00066166" w:rsidRDefault="00F62BD0">
      <w:pPr>
        <w:spacing w:line="240" w:lineRule="exact"/>
        <w:rPr>
          <w:rFonts w:ascii="宋体" w:hAnsi="宋体"/>
          <w:szCs w:val="21"/>
        </w:rPr>
      </w:pPr>
      <w:r>
        <w:rPr>
          <w:rFonts w:ascii="宋体" w:hAnsi="宋体" w:hint="eastAsia"/>
          <w:szCs w:val="21"/>
        </w:rPr>
        <w:t>□完全不了解</w:t>
      </w:r>
      <w:r>
        <w:rPr>
          <w:rFonts w:ascii="宋体" w:hAnsi="宋体" w:hint="eastAsia"/>
          <w:szCs w:val="21"/>
        </w:rPr>
        <w:t xml:space="preserve">    </w:t>
      </w:r>
      <w:r>
        <w:rPr>
          <w:rFonts w:ascii="宋体" w:hAnsi="宋体" w:hint="eastAsia"/>
          <w:szCs w:val="21"/>
        </w:rPr>
        <w:t>□不了解</w:t>
      </w:r>
      <w:r>
        <w:rPr>
          <w:rFonts w:ascii="宋体" w:hAnsi="宋体" w:hint="eastAsia"/>
          <w:szCs w:val="21"/>
        </w:rPr>
        <w:t xml:space="preserve">    </w:t>
      </w:r>
      <w:r>
        <w:rPr>
          <w:rFonts w:ascii="宋体" w:hAnsi="宋体" w:hint="eastAsia"/>
          <w:szCs w:val="21"/>
        </w:rPr>
        <w:t>□一般</w:t>
      </w:r>
      <w:r>
        <w:rPr>
          <w:rFonts w:ascii="宋体" w:hAnsi="宋体" w:hint="eastAsia"/>
          <w:szCs w:val="21"/>
        </w:rPr>
        <w:t xml:space="preserve">     </w:t>
      </w:r>
      <w:r>
        <w:rPr>
          <w:rFonts w:ascii="宋体" w:hAnsi="宋体" w:hint="eastAsia"/>
          <w:szCs w:val="21"/>
        </w:rPr>
        <w:t>□了解</w:t>
      </w:r>
      <w:r>
        <w:rPr>
          <w:rFonts w:ascii="宋体" w:hAnsi="宋体" w:hint="eastAsia"/>
          <w:szCs w:val="21"/>
        </w:rPr>
        <w:t xml:space="preserve">     </w:t>
      </w:r>
      <w:r>
        <w:rPr>
          <w:rFonts w:ascii="宋体" w:hAnsi="宋体" w:hint="eastAsia"/>
          <w:szCs w:val="21"/>
        </w:rPr>
        <w:t>□非常了解</w:t>
      </w:r>
    </w:p>
    <w:p w:rsidR="00066166" w:rsidRDefault="00066166"/>
    <w:p w:rsidR="00066166" w:rsidRDefault="00F62BD0">
      <w:pPr>
        <w:spacing w:beforeLines="50" w:before="156" w:afterLines="50" w:after="156" w:line="360" w:lineRule="auto"/>
        <w:outlineLvl w:val="0"/>
        <w:rPr>
          <w:rFonts w:eastAsia="楷体_GB2312"/>
          <w:b/>
          <w:sz w:val="24"/>
        </w:rPr>
      </w:pPr>
      <w:bookmarkStart w:id="357" w:name="_Toc46056569"/>
      <w:bookmarkStart w:id="358" w:name="_Toc24977187"/>
      <w:bookmarkStart w:id="359" w:name="_Toc91143628"/>
      <w:bookmarkStart w:id="360" w:name="_Toc46069733"/>
      <w:bookmarkStart w:id="361" w:name="_Toc59631231"/>
      <w:r>
        <w:rPr>
          <w:rFonts w:eastAsia="楷体_GB2312" w:hint="eastAsia"/>
          <w:b/>
          <w:sz w:val="24"/>
        </w:rPr>
        <w:t>附件二：签约注意事项</w:t>
      </w:r>
      <w:bookmarkEnd w:id="357"/>
      <w:bookmarkEnd w:id="358"/>
      <w:bookmarkEnd w:id="359"/>
      <w:bookmarkEnd w:id="360"/>
      <w:bookmarkEnd w:id="361"/>
    </w:p>
    <w:p w:rsidR="00066166" w:rsidRDefault="00F62BD0">
      <w:pPr>
        <w:autoSpaceDE w:val="0"/>
        <w:autoSpaceDN w:val="0"/>
        <w:adjustRightInd w:val="0"/>
        <w:jc w:val="center"/>
        <w:rPr>
          <w:rFonts w:ascii="宋体" w:hAnsi="宋体" w:cs="HYa3gj"/>
          <w:b/>
          <w:kern w:val="0"/>
          <w:sz w:val="36"/>
          <w:szCs w:val="36"/>
        </w:rPr>
      </w:pPr>
      <w:r>
        <w:rPr>
          <w:rFonts w:ascii="宋体" w:hAnsi="宋体" w:cs="HYa3gj" w:hint="eastAsia"/>
          <w:b/>
          <w:kern w:val="0"/>
          <w:sz w:val="32"/>
          <w:szCs w:val="36"/>
        </w:rPr>
        <w:t>签约注意事项</w:t>
      </w:r>
    </w:p>
    <w:p w:rsidR="00066166" w:rsidRDefault="00F62BD0">
      <w:pPr>
        <w:autoSpaceDE w:val="0"/>
        <w:autoSpaceDN w:val="0"/>
        <w:adjustRightInd w:val="0"/>
        <w:jc w:val="left"/>
        <w:rPr>
          <w:rFonts w:ascii="宋体" w:hAnsi="宋体" w:cs="HYa1gj"/>
          <w:b/>
          <w:kern w:val="0"/>
          <w:sz w:val="25"/>
          <w:szCs w:val="25"/>
        </w:rPr>
      </w:pPr>
      <w:r>
        <w:rPr>
          <w:rFonts w:ascii="宋体" w:hAnsi="宋体" w:cs="HYa1gj" w:hint="eastAsia"/>
          <w:b/>
          <w:kern w:val="0"/>
          <w:sz w:val="25"/>
          <w:szCs w:val="25"/>
        </w:rPr>
        <w:t>自然人客户签约说明</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一、签约配套资料：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、客户身份识别：将证件正（反）面、客户受益账户卡正面，复印在同一张</w:t>
      </w:r>
      <w:r>
        <w:rPr>
          <w:rFonts w:ascii="宋体" w:hAnsi="宋体" w:cs="HYa1gj"/>
          <w:kern w:val="0"/>
          <w:szCs w:val="21"/>
        </w:rPr>
        <w:t>A4</w:t>
      </w:r>
      <w:r>
        <w:rPr>
          <w:rFonts w:ascii="宋体" w:hAnsi="宋体" w:cs="HYa1gj" w:hint="eastAsia"/>
          <w:kern w:val="0"/>
          <w:szCs w:val="21"/>
        </w:rPr>
        <w:t>纸上，并</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在此复印件空白处填写“此复印件与原件相同”、签名、日期</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、银行缴款单复印件一份</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二、客户携带资料：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、银行缴款单原件壹联（收款人：五矿国际信托有限公司；缴款人须与认购者一致。）</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、缴款人身份证原件</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、客户受益账户卡（银行账户名须与认购</w:t>
      </w:r>
      <w:r>
        <w:rPr>
          <w:rFonts w:ascii="宋体" w:hAnsi="宋体" w:cs="HYa4gj" w:hint="eastAsia"/>
          <w:kern w:val="0"/>
          <w:szCs w:val="21"/>
        </w:rPr>
        <w:t>/</w:t>
      </w:r>
      <w:r>
        <w:rPr>
          <w:rFonts w:ascii="宋体" w:hAnsi="宋体" w:cs="HYa4gj" w:hint="eastAsia"/>
          <w:kern w:val="0"/>
          <w:szCs w:val="21"/>
        </w:rPr>
        <w:t>申购</w:t>
      </w:r>
      <w:r>
        <w:rPr>
          <w:rFonts w:ascii="宋体" w:hAnsi="宋体" w:cs="HYa1gj" w:hint="eastAsia"/>
          <w:kern w:val="0"/>
          <w:szCs w:val="21"/>
        </w:rPr>
        <w:t>者本人一致）</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三、信托合同</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、填写注意事项：</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A</w:t>
      </w:r>
      <w:r>
        <w:rPr>
          <w:rFonts w:ascii="宋体" w:hAnsi="宋体" w:cs="HYa1gj" w:hint="eastAsia"/>
          <w:kern w:val="0"/>
          <w:szCs w:val="21"/>
        </w:rPr>
        <w:t>、大小写：小写保留两位小数点，如</w:t>
      </w:r>
      <w:r>
        <w:rPr>
          <w:rFonts w:ascii="宋体" w:hAnsi="宋体" w:cs="HYa1gj"/>
          <w:kern w:val="0"/>
          <w:szCs w:val="21"/>
        </w:rPr>
        <w:t>3000000.00</w:t>
      </w:r>
      <w:r>
        <w:rPr>
          <w:rFonts w:ascii="宋体" w:hAnsi="宋体" w:cs="HYa1gj" w:hint="eastAsia"/>
          <w:kern w:val="0"/>
          <w:szCs w:val="21"/>
        </w:rPr>
        <w:t>元，</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大写格式中，按规范的写</w:t>
      </w:r>
      <w:r>
        <w:rPr>
          <w:rFonts w:ascii="宋体" w:hAnsi="宋体" w:cs="HYa1gj"/>
          <w:kern w:val="0"/>
          <w:szCs w:val="21"/>
        </w:rPr>
        <w:t>,</w:t>
      </w:r>
      <w:r>
        <w:rPr>
          <w:rFonts w:ascii="宋体" w:hAnsi="宋体" w:cs="HYa1gj" w:hint="eastAsia"/>
          <w:kern w:val="0"/>
          <w:szCs w:val="21"/>
        </w:rPr>
        <w:t>如：人民币【叁百万】元整；</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B</w:t>
      </w:r>
      <w:r>
        <w:rPr>
          <w:rFonts w:ascii="宋体" w:hAnsi="宋体" w:cs="HYa1gj" w:hint="eastAsia"/>
          <w:kern w:val="0"/>
          <w:szCs w:val="21"/>
        </w:rPr>
        <w:t>、委托人姓名需要与身份</w:t>
      </w:r>
      <w:r>
        <w:rPr>
          <w:rFonts w:ascii="宋体" w:hAnsi="宋体" w:cs="HYa1gj" w:hint="eastAsia"/>
          <w:kern w:val="0"/>
          <w:szCs w:val="21"/>
        </w:rPr>
        <w:t>证上姓名一致，且无涂改填写在姓名栏；</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C</w:t>
      </w:r>
      <w:r>
        <w:rPr>
          <w:rFonts w:ascii="宋体" w:hAnsi="宋体" w:cs="HYa1gj" w:hint="eastAsia"/>
          <w:kern w:val="0"/>
          <w:szCs w:val="21"/>
        </w:rPr>
        <w:t>、证件名称、证件号码须无涂改填写在正确位置；</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D</w:t>
      </w:r>
      <w:r>
        <w:rPr>
          <w:rFonts w:ascii="宋体" w:hAnsi="宋体" w:cs="HYa1gj" w:hint="eastAsia"/>
          <w:kern w:val="0"/>
          <w:szCs w:val="21"/>
        </w:rPr>
        <w:t>、客户受益账户户名、账号需与受益账户卡复印件中的信息一致，且准确无误填写在正确</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位置，银行账户名即认购者姓名；</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E</w:t>
      </w:r>
      <w:r>
        <w:rPr>
          <w:rFonts w:ascii="宋体" w:hAnsi="宋体" w:cs="HYa1gj" w:hint="eastAsia"/>
          <w:kern w:val="0"/>
          <w:szCs w:val="21"/>
        </w:rPr>
        <w:t>、开户银行：须明确写到开户银行支行，如：</w:t>
      </w:r>
      <w:r>
        <w:rPr>
          <w:rFonts w:ascii="宋体" w:hAnsi="宋体" w:cs="HYa1gj" w:hint="eastAsia"/>
          <w:kern w:val="0"/>
          <w:szCs w:val="21"/>
        </w:rPr>
        <w:t>**</w:t>
      </w:r>
      <w:r>
        <w:rPr>
          <w:rFonts w:ascii="宋体" w:hAnsi="宋体" w:cs="HYa1gj" w:hint="eastAsia"/>
          <w:kern w:val="0"/>
          <w:szCs w:val="21"/>
        </w:rPr>
        <w:t>银行</w:t>
      </w:r>
      <w:r>
        <w:rPr>
          <w:rFonts w:ascii="宋体" w:hAnsi="宋体" w:cs="HYa1gj" w:hint="eastAsia"/>
          <w:kern w:val="0"/>
          <w:szCs w:val="21"/>
        </w:rPr>
        <w:t>**</w:t>
      </w:r>
      <w:r>
        <w:rPr>
          <w:rFonts w:ascii="宋体" w:hAnsi="宋体" w:cs="HYa1gj" w:hint="eastAsia"/>
          <w:kern w:val="0"/>
          <w:szCs w:val="21"/>
        </w:rPr>
        <w:t>分行</w:t>
      </w:r>
      <w:r>
        <w:rPr>
          <w:rFonts w:ascii="宋体" w:hAnsi="宋体" w:cs="HYa1gj"/>
          <w:kern w:val="0"/>
          <w:szCs w:val="21"/>
        </w:rPr>
        <w:t>**</w:t>
      </w:r>
      <w:r>
        <w:rPr>
          <w:rFonts w:ascii="宋体" w:hAnsi="宋体" w:cs="HYa1gj" w:hint="eastAsia"/>
          <w:kern w:val="0"/>
          <w:szCs w:val="21"/>
        </w:rPr>
        <w:t>支行；</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F</w:t>
      </w:r>
      <w:r>
        <w:rPr>
          <w:rFonts w:ascii="宋体" w:hAnsi="宋体" w:cs="HYa1gj" w:hint="eastAsia"/>
          <w:kern w:val="0"/>
          <w:szCs w:val="21"/>
        </w:rPr>
        <w:t>、客户签名：个人投资者在自然人签字栏签；</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G</w:t>
      </w:r>
      <w:r>
        <w:rPr>
          <w:rFonts w:ascii="宋体" w:hAnsi="宋体" w:cs="HYa1gj" w:hint="eastAsia"/>
          <w:kern w:val="0"/>
          <w:szCs w:val="21"/>
        </w:rPr>
        <w:t>、签署地：青海省西宁市。</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四、《委托人调查问卷》填写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、调查内容在各选项字母处打“√”即可</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、客户须本人在问卷空白处签字</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五、信托留存资料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、客户受益账户及身份证复印件一份</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、银行缴款复印件一份</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4</w:t>
      </w:r>
      <w:r>
        <w:rPr>
          <w:rFonts w:ascii="宋体" w:hAnsi="宋体" w:cs="HYa1gj" w:hint="eastAsia"/>
          <w:kern w:val="0"/>
          <w:szCs w:val="21"/>
        </w:rPr>
        <w:t>、合格投资人资格确认登记表</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5</w:t>
      </w:r>
      <w:r>
        <w:rPr>
          <w:rFonts w:ascii="宋体" w:hAnsi="宋体" w:cs="HYa1gj" w:hint="eastAsia"/>
          <w:kern w:val="0"/>
          <w:szCs w:val="21"/>
        </w:rPr>
        <w:t>、委托人调查问卷</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六、客户留存资料</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已签约合同（内附风险申明书）一份</w:t>
      </w:r>
    </w:p>
    <w:p w:rsidR="00066166" w:rsidRDefault="00F62BD0">
      <w:pPr>
        <w:autoSpaceDE w:val="0"/>
        <w:autoSpaceDN w:val="0"/>
        <w:adjustRightInd w:val="0"/>
        <w:jc w:val="left"/>
        <w:rPr>
          <w:rFonts w:ascii="宋体" w:hAnsi="宋体" w:cs="HYa4gj"/>
          <w:kern w:val="0"/>
          <w:sz w:val="23"/>
          <w:szCs w:val="23"/>
        </w:rPr>
      </w:pPr>
      <w:r>
        <w:rPr>
          <w:rFonts w:ascii="宋体" w:hAnsi="宋体" w:cs="HYa4gj" w:hint="eastAsia"/>
          <w:kern w:val="0"/>
          <w:sz w:val="23"/>
          <w:szCs w:val="23"/>
        </w:rPr>
        <w:t>特别提醒：</w:t>
      </w:r>
    </w:p>
    <w:p w:rsidR="00066166" w:rsidRDefault="00F62BD0">
      <w:pPr>
        <w:autoSpaceDE w:val="0"/>
        <w:autoSpaceDN w:val="0"/>
        <w:adjustRightInd w:val="0"/>
        <w:jc w:val="left"/>
        <w:rPr>
          <w:rFonts w:ascii="宋体" w:hAnsi="宋体" w:cs="HYa4gj"/>
          <w:kern w:val="0"/>
          <w:szCs w:val="21"/>
        </w:rPr>
      </w:pPr>
      <w:r>
        <w:rPr>
          <w:rFonts w:ascii="宋体" w:hAnsi="宋体" w:cs="HYa4gj" w:hint="eastAsia"/>
          <w:kern w:val="0"/>
          <w:szCs w:val="21"/>
        </w:rPr>
        <w:t>客户须在银行缴款凭证摘要或附言或备注中注明认购</w:t>
      </w:r>
      <w:r>
        <w:rPr>
          <w:rFonts w:ascii="宋体" w:hAnsi="宋体" w:cs="HYa4gj" w:hint="eastAsia"/>
          <w:kern w:val="0"/>
          <w:szCs w:val="21"/>
        </w:rPr>
        <w:t>/</w:t>
      </w:r>
      <w:r>
        <w:rPr>
          <w:rFonts w:ascii="宋体" w:hAnsi="宋体" w:cs="HYa4gj" w:hint="eastAsia"/>
          <w:kern w:val="0"/>
          <w:szCs w:val="21"/>
        </w:rPr>
        <w:t>申购者姓名，例如：张三认购</w:t>
      </w:r>
      <w:r>
        <w:rPr>
          <w:rFonts w:ascii="宋体" w:hAnsi="宋体" w:cs="HYa4gj" w:hint="eastAsia"/>
          <w:kern w:val="0"/>
          <w:szCs w:val="21"/>
        </w:rPr>
        <w:t>/</w:t>
      </w:r>
      <w:r>
        <w:rPr>
          <w:rFonts w:ascii="宋体" w:hAnsi="宋体" w:cs="HYa4gj" w:hint="eastAsia"/>
          <w:kern w:val="0"/>
          <w:szCs w:val="21"/>
        </w:rPr>
        <w:t>申购五矿信托</w:t>
      </w:r>
      <w:r>
        <w:rPr>
          <w:rFonts w:ascii="宋体" w:hAnsi="宋体" w:cs="HYa4gj" w:hint="eastAsia"/>
          <w:kern w:val="0"/>
          <w:szCs w:val="21"/>
        </w:rPr>
        <w:t>xx</w:t>
      </w:r>
      <w:r>
        <w:rPr>
          <w:rFonts w:ascii="宋体" w:hAnsi="宋体" w:cs="HYa4gj" w:hint="eastAsia"/>
          <w:kern w:val="0"/>
          <w:szCs w:val="21"/>
        </w:rPr>
        <w:t>项目。</w:t>
      </w:r>
    </w:p>
    <w:p w:rsidR="00066166" w:rsidRDefault="00066166">
      <w:pPr>
        <w:autoSpaceDE w:val="0"/>
        <w:autoSpaceDN w:val="0"/>
        <w:adjustRightInd w:val="0"/>
        <w:jc w:val="left"/>
        <w:rPr>
          <w:rFonts w:ascii="宋体" w:hAnsi="宋体" w:cs="HYa1gj"/>
          <w:kern w:val="0"/>
          <w:sz w:val="25"/>
          <w:szCs w:val="25"/>
        </w:rPr>
      </w:pPr>
    </w:p>
    <w:p w:rsidR="00066166" w:rsidRDefault="00066166">
      <w:pPr>
        <w:autoSpaceDE w:val="0"/>
        <w:autoSpaceDN w:val="0"/>
        <w:adjustRightInd w:val="0"/>
        <w:jc w:val="left"/>
        <w:rPr>
          <w:rFonts w:ascii="宋体" w:hAnsi="宋体" w:cs="HYa1gj"/>
          <w:kern w:val="0"/>
          <w:sz w:val="25"/>
          <w:szCs w:val="25"/>
        </w:rPr>
      </w:pPr>
    </w:p>
    <w:p w:rsidR="00066166" w:rsidRDefault="00066166">
      <w:pPr>
        <w:autoSpaceDE w:val="0"/>
        <w:autoSpaceDN w:val="0"/>
        <w:adjustRightInd w:val="0"/>
        <w:jc w:val="left"/>
        <w:rPr>
          <w:rFonts w:ascii="宋体" w:hAnsi="宋体" w:cs="HYa1gj"/>
          <w:kern w:val="0"/>
          <w:sz w:val="25"/>
          <w:szCs w:val="25"/>
        </w:rPr>
      </w:pPr>
    </w:p>
    <w:p w:rsidR="00066166" w:rsidRDefault="00F62BD0">
      <w:pPr>
        <w:autoSpaceDE w:val="0"/>
        <w:autoSpaceDN w:val="0"/>
        <w:adjustRightInd w:val="0"/>
        <w:jc w:val="left"/>
        <w:rPr>
          <w:rFonts w:ascii="宋体" w:hAnsi="宋体" w:cs="HYa1gj"/>
          <w:b/>
          <w:kern w:val="0"/>
          <w:sz w:val="25"/>
          <w:szCs w:val="25"/>
        </w:rPr>
      </w:pPr>
      <w:r>
        <w:rPr>
          <w:rFonts w:ascii="宋体" w:hAnsi="宋体" w:cs="HYa1gj" w:hint="eastAsia"/>
          <w:b/>
          <w:kern w:val="0"/>
          <w:sz w:val="25"/>
          <w:szCs w:val="25"/>
        </w:rPr>
        <w:t>机构客户签约说明</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一、签约配套资料：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、营业执照、组织机构代码证、税务登记证、法人代表身份证的复印件并加盖公章</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、银行缴款单复印件一份</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、机构客户受益账户名称、账号和开户银行信息</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二、机构投资者客户携带资料：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、若机构法定代表人本人办理：</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）机构营业执照副本复印件（需加盖公章）</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）组织机构代码证（需加盖公章）</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）机构法定代表人身份证原件，复印件（需加盖公章）；</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4</w:t>
      </w:r>
      <w:r>
        <w:rPr>
          <w:rFonts w:ascii="宋体" w:hAnsi="宋体" w:cs="HYa1gj" w:hint="eastAsia"/>
          <w:kern w:val="0"/>
          <w:szCs w:val="21"/>
        </w:rPr>
        <w:t>）税务登记证复印件（需加盖公章）</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5</w:t>
      </w:r>
      <w:r>
        <w:rPr>
          <w:rFonts w:ascii="宋体" w:hAnsi="宋体" w:cs="HYa1gj" w:hint="eastAsia"/>
          <w:kern w:val="0"/>
          <w:szCs w:val="21"/>
        </w:rPr>
        <w:t>）机构客户受益账户名称、账号、开户银行信息</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、若为委托办理，则经办人除需持上述文件外，还需持经办人身份证原件和由机构法定代表人签名并加盖公章的授权委托书。</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三、《信托合同》</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、填写注意事项：</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A</w:t>
      </w:r>
      <w:r>
        <w:rPr>
          <w:rFonts w:ascii="宋体" w:hAnsi="宋体" w:cs="HYa1gj" w:hint="eastAsia"/>
          <w:kern w:val="0"/>
          <w:szCs w:val="21"/>
        </w:rPr>
        <w:t>、大小写：小写保留两位小数点，如</w:t>
      </w:r>
      <w:r>
        <w:rPr>
          <w:rFonts w:ascii="宋体" w:hAnsi="宋体" w:cs="HYa1gj"/>
          <w:kern w:val="0"/>
          <w:szCs w:val="21"/>
        </w:rPr>
        <w:t>3000000.00</w:t>
      </w:r>
      <w:r>
        <w:rPr>
          <w:rFonts w:ascii="宋体" w:hAnsi="宋体" w:cs="HYa1gj" w:hint="eastAsia"/>
          <w:kern w:val="0"/>
          <w:szCs w:val="21"/>
        </w:rPr>
        <w:t>元，</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大写格式中，按规范的写</w:t>
      </w:r>
      <w:r>
        <w:rPr>
          <w:rFonts w:ascii="宋体" w:hAnsi="宋体" w:cs="HYa1gj"/>
          <w:kern w:val="0"/>
          <w:szCs w:val="21"/>
        </w:rPr>
        <w:t>,</w:t>
      </w:r>
      <w:r>
        <w:rPr>
          <w:rFonts w:ascii="宋体" w:hAnsi="宋体" w:cs="HYa1gj" w:hint="eastAsia"/>
          <w:kern w:val="0"/>
          <w:szCs w:val="21"/>
        </w:rPr>
        <w:t>如：人民币【叁佰万】元整；</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B</w:t>
      </w:r>
      <w:r>
        <w:rPr>
          <w:rFonts w:ascii="宋体" w:hAnsi="宋体" w:cs="HYa1gj" w:hint="eastAsia"/>
          <w:kern w:val="0"/>
          <w:szCs w:val="21"/>
        </w:rPr>
        <w:t>、委托人名称需要与机构证件上上名称一致，且无涂改填写在姓名栏；</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C</w:t>
      </w:r>
      <w:r>
        <w:rPr>
          <w:rFonts w:ascii="宋体" w:hAnsi="宋体" w:cs="HYa1gj" w:hint="eastAsia"/>
          <w:kern w:val="0"/>
          <w:szCs w:val="21"/>
        </w:rPr>
        <w:t>、证件名称、证件号码须无涂改填写在正确位置；</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D</w:t>
      </w:r>
      <w:r>
        <w:rPr>
          <w:rFonts w:ascii="宋体" w:hAnsi="宋体" w:cs="HYa1gj" w:hint="eastAsia"/>
          <w:kern w:val="0"/>
          <w:szCs w:val="21"/>
        </w:rPr>
        <w:t>、客户受益账户户名、账号需与受益账户卡复印件中的信息一致，且准确无误填写在正确</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位置，银行账户名即认购机构名称；</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E</w:t>
      </w:r>
      <w:r>
        <w:rPr>
          <w:rFonts w:ascii="宋体" w:hAnsi="宋体" w:cs="HYa1gj" w:hint="eastAsia"/>
          <w:kern w:val="0"/>
          <w:szCs w:val="21"/>
        </w:rPr>
        <w:t>、开户银行：须明确写到开户银行支行，如：</w:t>
      </w:r>
      <w:r>
        <w:rPr>
          <w:rFonts w:ascii="宋体" w:hAnsi="宋体" w:cs="HYa1gj" w:hint="eastAsia"/>
          <w:kern w:val="0"/>
          <w:szCs w:val="21"/>
        </w:rPr>
        <w:t>**</w:t>
      </w:r>
      <w:r>
        <w:rPr>
          <w:rFonts w:ascii="宋体" w:hAnsi="宋体" w:cs="HYa1gj" w:hint="eastAsia"/>
          <w:kern w:val="0"/>
          <w:szCs w:val="21"/>
        </w:rPr>
        <w:t>银行</w:t>
      </w:r>
      <w:r>
        <w:rPr>
          <w:rFonts w:ascii="宋体" w:hAnsi="宋体" w:cs="HYa1gj" w:hint="eastAsia"/>
          <w:kern w:val="0"/>
          <w:szCs w:val="21"/>
        </w:rPr>
        <w:t>**</w:t>
      </w:r>
      <w:r>
        <w:rPr>
          <w:rFonts w:ascii="宋体" w:hAnsi="宋体" w:cs="HYa1gj" w:hint="eastAsia"/>
          <w:kern w:val="0"/>
          <w:szCs w:val="21"/>
        </w:rPr>
        <w:t>分行</w:t>
      </w:r>
      <w:r>
        <w:rPr>
          <w:rFonts w:ascii="宋体" w:hAnsi="宋体" w:cs="HYa1gj"/>
          <w:kern w:val="0"/>
          <w:szCs w:val="21"/>
        </w:rPr>
        <w:t>**</w:t>
      </w:r>
      <w:r>
        <w:rPr>
          <w:rFonts w:ascii="宋体" w:hAnsi="宋体" w:cs="HYa1gj" w:hint="eastAsia"/>
          <w:kern w:val="0"/>
          <w:szCs w:val="21"/>
        </w:rPr>
        <w:t>支行；</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F</w:t>
      </w:r>
      <w:r>
        <w:rPr>
          <w:rFonts w:ascii="宋体" w:hAnsi="宋体" w:cs="HYa1gj" w:hint="eastAsia"/>
          <w:kern w:val="0"/>
          <w:szCs w:val="21"/>
        </w:rPr>
        <w:t>、客户签章：机构投资者在客户签字栏加盖机构公章并由法人签字；</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G</w:t>
      </w:r>
      <w:r>
        <w:rPr>
          <w:rFonts w:ascii="宋体" w:hAnsi="宋体" w:cs="HYa1gj" w:hint="eastAsia"/>
          <w:kern w:val="0"/>
          <w:szCs w:val="21"/>
        </w:rPr>
        <w:t>、签署地：青海省西宁市。</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四、《委托人调查问卷》填写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、调查内容在各选项字母处打“√”即可</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、客户须本人在问卷空白处签字</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五、信托留存资料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、营业执照、组织机构代码证、税务登记证、法人代表身份证、办理人身份证、机构客户受益账户名称、账号和开户银行的说明复印件一份</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、银行缴款单复印件一份</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4</w:t>
      </w:r>
      <w:r>
        <w:rPr>
          <w:rFonts w:ascii="宋体" w:hAnsi="宋体" w:cs="HYa1gj" w:hint="eastAsia"/>
          <w:kern w:val="0"/>
          <w:szCs w:val="21"/>
        </w:rPr>
        <w:t>、合格投资人资格确认登记表</w:t>
      </w:r>
    </w:p>
    <w:p w:rsidR="00066166" w:rsidRDefault="00F62BD0">
      <w:pPr>
        <w:autoSpaceDE w:val="0"/>
        <w:autoSpaceDN w:val="0"/>
        <w:adjustRightInd w:val="0"/>
        <w:jc w:val="left"/>
        <w:rPr>
          <w:rFonts w:ascii="宋体" w:hAnsi="宋体" w:cs="HYa1gj"/>
          <w:kern w:val="0"/>
          <w:szCs w:val="21"/>
        </w:rPr>
      </w:pPr>
      <w:r>
        <w:rPr>
          <w:rFonts w:ascii="宋体" w:hAnsi="宋体" w:cs="HYa1gj" w:hint="eastAsia"/>
          <w:kern w:val="0"/>
          <w:szCs w:val="21"/>
        </w:rPr>
        <w:t>5</w:t>
      </w:r>
      <w:r>
        <w:rPr>
          <w:rFonts w:ascii="宋体" w:hAnsi="宋体" w:cs="HYa1gj" w:hint="eastAsia"/>
          <w:kern w:val="0"/>
          <w:szCs w:val="21"/>
        </w:rPr>
        <w:t>、委托人调查问卷</w:t>
      </w:r>
    </w:p>
    <w:p w:rsidR="00066166" w:rsidRDefault="00F62BD0">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六、客户留存资料</w:t>
      </w:r>
    </w:p>
    <w:p w:rsidR="00066166" w:rsidRDefault="00F62BD0">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rsidR="00066166" w:rsidRDefault="00066166">
      <w:pPr>
        <w:autoSpaceDE w:val="0"/>
        <w:autoSpaceDN w:val="0"/>
        <w:adjustRightInd w:val="0"/>
        <w:jc w:val="left"/>
        <w:rPr>
          <w:rFonts w:ascii="宋体" w:hAnsi="宋体" w:cs="HYa4gj"/>
          <w:b/>
          <w:kern w:val="0"/>
          <w:sz w:val="23"/>
          <w:szCs w:val="23"/>
        </w:rPr>
      </w:pPr>
    </w:p>
    <w:p w:rsidR="00066166" w:rsidRDefault="00F62BD0">
      <w:pPr>
        <w:autoSpaceDE w:val="0"/>
        <w:autoSpaceDN w:val="0"/>
        <w:adjustRightInd w:val="0"/>
        <w:jc w:val="left"/>
        <w:rPr>
          <w:rFonts w:ascii="宋体" w:hAnsi="宋体" w:cs="HYa4gj"/>
          <w:b/>
          <w:kern w:val="0"/>
          <w:sz w:val="23"/>
          <w:szCs w:val="23"/>
        </w:rPr>
      </w:pPr>
      <w:r>
        <w:rPr>
          <w:rFonts w:ascii="宋体" w:hAnsi="宋体" w:cs="HYa4gj" w:hint="eastAsia"/>
          <w:b/>
          <w:kern w:val="0"/>
          <w:sz w:val="23"/>
          <w:szCs w:val="23"/>
        </w:rPr>
        <w:t>特别提醒：</w:t>
      </w:r>
    </w:p>
    <w:p w:rsidR="00066166" w:rsidRDefault="00F62BD0">
      <w:pPr>
        <w:autoSpaceDE w:val="0"/>
        <w:autoSpaceDN w:val="0"/>
        <w:adjustRightInd w:val="0"/>
        <w:jc w:val="left"/>
        <w:rPr>
          <w:rFonts w:ascii="宋体" w:hAnsi="宋体" w:cs="HYa4gj"/>
          <w:kern w:val="0"/>
          <w:szCs w:val="21"/>
        </w:rPr>
      </w:pPr>
      <w:r>
        <w:rPr>
          <w:rFonts w:ascii="宋体" w:hAnsi="宋体" w:cs="HYa4gj" w:hint="eastAsia"/>
          <w:kern w:val="0"/>
          <w:szCs w:val="21"/>
        </w:rPr>
        <w:t>客户须在银行缴款凭证摘要或附言或备注中注明认购</w:t>
      </w:r>
      <w:r>
        <w:rPr>
          <w:rFonts w:ascii="宋体" w:hAnsi="宋体" w:cs="HYa4gj" w:hint="eastAsia"/>
          <w:kern w:val="0"/>
          <w:szCs w:val="21"/>
        </w:rPr>
        <w:t>/</w:t>
      </w:r>
      <w:r>
        <w:rPr>
          <w:rFonts w:ascii="宋体" w:hAnsi="宋体" w:cs="HYa4gj" w:hint="eastAsia"/>
          <w:kern w:val="0"/>
          <w:szCs w:val="21"/>
        </w:rPr>
        <w:t>申购者姓名，例如：</w:t>
      </w:r>
      <w:r>
        <w:rPr>
          <w:rFonts w:ascii="宋体" w:hAnsi="宋体" w:cs="HYa4gj" w:hint="eastAsia"/>
          <w:kern w:val="0"/>
          <w:szCs w:val="21"/>
        </w:rPr>
        <w:t>xx</w:t>
      </w:r>
      <w:r>
        <w:rPr>
          <w:rFonts w:ascii="宋体" w:hAnsi="宋体" w:cs="HYa4gj" w:hint="eastAsia"/>
          <w:kern w:val="0"/>
          <w:szCs w:val="21"/>
        </w:rPr>
        <w:t>认购</w:t>
      </w:r>
      <w:r>
        <w:rPr>
          <w:rFonts w:ascii="宋体" w:hAnsi="宋体" w:cs="HYa4gj" w:hint="eastAsia"/>
          <w:kern w:val="0"/>
          <w:szCs w:val="21"/>
        </w:rPr>
        <w:t>/</w:t>
      </w:r>
      <w:r>
        <w:rPr>
          <w:rFonts w:ascii="宋体" w:hAnsi="宋体" w:cs="HYa4gj" w:hint="eastAsia"/>
          <w:kern w:val="0"/>
          <w:szCs w:val="21"/>
        </w:rPr>
        <w:t>申购五矿信托</w:t>
      </w:r>
      <w:r>
        <w:rPr>
          <w:rFonts w:ascii="宋体" w:hAnsi="宋体" w:cs="HYa4gj" w:hint="eastAsia"/>
          <w:kern w:val="0"/>
          <w:szCs w:val="21"/>
        </w:rPr>
        <w:t>xx</w:t>
      </w:r>
      <w:r>
        <w:rPr>
          <w:rFonts w:ascii="宋体" w:hAnsi="宋体" w:cs="HYa4gj" w:hint="eastAsia"/>
          <w:kern w:val="0"/>
          <w:szCs w:val="21"/>
        </w:rPr>
        <w:t>项目。</w:t>
      </w:r>
    </w:p>
    <w:p w:rsidR="00066166" w:rsidRDefault="00F62BD0">
      <w:pPr>
        <w:rPr>
          <w:rFonts w:ascii="宋体" w:hAnsi="宋体"/>
        </w:rPr>
      </w:pPr>
      <w:r>
        <w:rPr>
          <w:rFonts w:ascii="宋体" w:hAnsi="宋体" w:cs="HYa4gj" w:hint="eastAsia"/>
          <w:kern w:val="0"/>
          <w:szCs w:val="21"/>
        </w:rPr>
        <w:t>在摘要或附言或备注中注明机构认购</w:t>
      </w:r>
      <w:r>
        <w:rPr>
          <w:rFonts w:ascii="宋体" w:hAnsi="宋体" w:cs="HYa4gj" w:hint="eastAsia"/>
          <w:kern w:val="0"/>
          <w:szCs w:val="21"/>
        </w:rPr>
        <w:t>/</w:t>
      </w:r>
      <w:r>
        <w:rPr>
          <w:rFonts w:ascii="宋体" w:hAnsi="宋体" w:cs="HYa4gj" w:hint="eastAsia"/>
          <w:kern w:val="0"/>
          <w:szCs w:val="21"/>
        </w:rPr>
        <w:t>申购者公司名字全称。</w:t>
      </w:r>
    </w:p>
    <w:p w:rsidR="00066166" w:rsidRDefault="00F62BD0">
      <w:pPr>
        <w:spacing w:beforeLines="50" w:before="156" w:afterLines="50" w:after="156" w:line="360" w:lineRule="auto"/>
        <w:outlineLvl w:val="0"/>
        <w:rPr>
          <w:rFonts w:eastAsia="楷体_GB2312"/>
          <w:b/>
          <w:sz w:val="24"/>
        </w:rPr>
      </w:pPr>
      <w:r>
        <w:rPr>
          <w:sz w:val="24"/>
          <w:szCs w:val="18"/>
        </w:rPr>
        <w:br w:type="page"/>
      </w:r>
      <w:bookmarkStart w:id="362" w:name="_Toc46056570"/>
      <w:bookmarkStart w:id="363" w:name="_Toc59631232"/>
      <w:bookmarkStart w:id="364" w:name="_Toc46069734"/>
      <w:bookmarkStart w:id="365" w:name="_Toc24977188"/>
      <w:bookmarkStart w:id="366" w:name="_Toc512363501"/>
      <w:bookmarkStart w:id="367" w:name="_Toc91143629"/>
      <w:r>
        <w:rPr>
          <w:rFonts w:eastAsia="楷体_GB2312" w:hint="eastAsia"/>
          <w:b/>
          <w:sz w:val="24"/>
        </w:rPr>
        <w:t>附件三：个人税收居民身份声明文件</w:t>
      </w:r>
      <w:bookmarkEnd w:id="362"/>
      <w:bookmarkEnd w:id="363"/>
      <w:bookmarkEnd w:id="364"/>
      <w:bookmarkEnd w:id="365"/>
      <w:bookmarkEnd w:id="366"/>
      <w:bookmarkEnd w:id="367"/>
    </w:p>
    <w:p w:rsidR="00066166" w:rsidRDefault="00F62BD0">
      <w:pPr>
        <w:spacing w:line="480" w:lineRule="auto"/>
        <w:rPr>
          <w:rFonts w:ascii="宋体" w:hAnsi="宋体" w:cs="仿宋"/>
          <w:sz w:val="22"/>
          <w:u w:val="single"/>
        </w:rPr>
      </w:pPr>
      <w:r>
        <w:rPr>
          <w:rFonts w:ascii="宋体" w:hAnsi="宋体" w:cs="仿宋" w:hint="eastAsia"/>
          <w:kern w:val="0"/>
          <w:sz w:val="22"/>
          <w:lang w:val="en-GB"/>
        </w:rPr>
        <w:t>姓名：</w:t>
      </w:r>
    </w:p>
    <w:p w:rsidR="00066166" w:rsidRDefault="00F62BD0">
      <w:pPr>
        <w:spacing w:line="480" w:lineRule="auto"/>
        <w:rPr>
          <w:rFonts w:ascii="宋体" w:hAnsi="宋体" w:cs="仿宋"/>
          <w:sz w:val="22"/>
        </w:rPr>
      </w:pPr>
      <w:r>
        <w:rPr>
          <w:rFonts w:ascii="宋体" w:hAnsi="宋体" w:cs="仿宋" w:hint="eastAsia"/>
          <w:sz w:val="22"/>
        </w:rPr>
        <w:t>证件种类：□身份证</w:t>
      </w:r>
      <w:r>
        <w:rPr>
          <w:rFonts w:ascii="宋体" w:hAnsi="宋体" w:cs="仿宋"/>
          <w:sz w:val="22"/>
        </w:rPr>
        <w:tab/>
      </w:r>
      <w:r>
        <w:rPr>
          <w:rFonts w:ascii="宋体" w:hAnsi="宋体" w:cs="仿宋"/>
          <w:sz w:val="22"/>
        </w:rPr>
        <w:tab/>
      </w:r>
      <w:r>
        <w:rPr>
          <w:rFonts w:ascii="宋体" w:hAnsi="宋体" w:cs="仿宋" w:hint="eastAsia"/>
          <w:sz w:val="22"/>
        </w:rPr>
        <w:t>□护照</w:t>
      </w:r>
      <w:r>
        <w:rPr>
          <w:rFonts w:ascii="宋体" w:hAnsi="宋体" w:cs="仿宋"/>
          <w:sz w:val="22"/>
        </w:rPr>
        <w:tab/>
      </w:r>
      <w:r>
        <w:rPr>
          <w:rFonts w:ascii="宋体" w:hAnsi="宋体" w:cs="仿宋"/>
          <w:sz w:val="22"/>
        </w:rPr>
        <w:tab/>
      </w:r>
      <w:r>
        <w:rPr>
          <w:rFonts w:ascii="宋体" w:hAnsi="宋体" w:cs="仿宋" w:hint="eastAsia"/>
          <w:sz w:val="22"/>
        </w:rPr>
        <w:t>□其他</w:t>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bookmarkStart w:id="368" w:name="_Hlk511914100"/>
      <w:r>
        <w:rPr>
          <w:rFonts w:ascii="宋体" w:hAnsi="宋体" w:cs="仿宋" w:hint="eastAsia"/>
          <w:sz w:val="22"/>
        </w:rPr>
        <w:t>请注明</w:t>
      </w:r>
      <w:bookmarkEnd w:id="368"/>
    </w:p>
    <w:p w:rsidR="00066166" w:rsidRDefault="00F62BD0">
      <w:pPr>
        <w:spacing w:line="480" w:lineRule="auto"/>
        <w:rPr>
          <w:rFonts w:ascii="宋体" w:hAnsi="宋体" w:cs="仿宋"/>
          <w:sz w:val="22"/>
          <w:u w:val="single"/>
        </w:rPr>
      </w:pPr>
      <w:r>
        <w:rPr>
          <w:rFonts w:ascii="宋体" w:hAnsi="宋体" w:cs="仿宋" w:hint="eastAsia"/>
          <w:sz w:val="22"/>
        </w:rPr>
        <w:t>证件编号：</w:t>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p>
    <w:p w:rsidR="00066166" w:rsidRDefault="00F62BD0">
      <w:pPr>
        <w:spacing w:line="480" w:lineRule="auto"/>
        <w:rPr>
          <w:rFonts w:ascii="宋体" w:hAnsi="宋体" w:cs="仿宋"/>
          <w:sz w:val="22"/>
        </w:rPr>
      </w:pPr>
      <w:r>
        <w:rPr>
          <w:rFonts w:ascii="宋体" w:hAnsi="宋体" w:cs="仿宋" w:hint="eastAsia"/>
          <w:sz w:val="22"/>
        </w:rPr>
        <w:t>本人声明：□</w:t>
      </w:r>
      <w:r>
        <w:rPr>
          <w:rFonts w:ascii="宋体" w:hAnsi="宋体" w:cs="仿宋" w:hint="eastAsia"/>
          <w:sz w:val="22"/>
        </w:rPr>
        <w:t xml:space="preserve"> 1.</w:t>
      </w:r>
      <w:r>
        <w:rPr>
          <w:rFonts w:ascii="宋体" w:hAnsi="宋体" w:cs="仿宋" w:hint="eastAsia"/>
          <w:sz w:val="22"/>
        </w:rPr>
        <w:t>仅为中国税收居民</w:t>
      </w:r>
      <w:r>
        <w:rPr>
          <w:rFonts w:ascii="宋体" w:hAnsi="宋体" w:cs="仿宋" w:hint="eastAsia"/>
          <w:sz w:val="22"/>
        </w:rPr>
        <w:t xml:space="preserve"> </w:t>
      </w:r>
    </w:p>
    <w:p w:rsidR="00066166" w:rsidRDefault="00F62BD0">
      <w:pPr>
        <w:spacing w:line="480" w:lineRule="auto"/>
        <w:ind w:left="630" w:firstLine="420"/>
        <w:rPr>
          <w:rFonts w:ascii="宋体" w:hAnsi="宋体" w:cs="仿宋"/>
          <w:sz w:val="22"/>
        </w:rPr>
      </w:pPr>
      <w:r>
        <w:rPr>
          <w:rFonts w:ascii="宋体" w:hAnsi="宋体" w:cs="仿宋" w:hint="eastAsia"/>
          <w:sz w:val="22"/>
        </w:rPr>
        <w:t>□</w:t>
      </w:r>
      <w:r>
        <w:rPr>
          <w:rFonts w:ascii="宋体" w:hAnsi="宋体" w:cs="仿宋" w:hint="eastAsia"/>
          <w:sz w:val="22"/>
        </w:rPr>
        <w:t xml:space="preserve"> 2.</w:t>
      </w:r>
      <w:r>
        <w:rPr>
          <w:rFonts w:ascii="宋体" w:hAnsi="宋体" w:cs="仿宋" w:hint="eastAsia"/>
          <w:sz w:val="22"/>
        </w:rPr>
        <w:t>仅为非居民</w:t>
      </w:r>
      <w:r>
        <w:rPr>
          <w:rFonts w:ascii="宋体" w:hAnsi="宋体" w:cs="仿宋" w:hint="eastAsia"/>
          <w:sz w:val="22"/>
        </w:rPr>
        <w:t xml:space="preserve">  </w:t>
      </w:r>
    </w:p>
    <w:p w:rsidR="00066166" w:rsidRDefault="00F62BD0">
      <w:pPr>
        <w:spacing w:line="480" w:lineRule="auto"/>
        <w:ind w:left="630" w:firstLine="420"/>
        <w:rPr>
          <w:rFonts w:ascii="宋体" w:hAnsi="宋体" w:cs="仿宋"/>
          <w:sz w:val="22"/>
        </w:rPr>
      </w:pPr>
      <w:r>
        <w:rPr>
          <w:rFonts w:ascii="宋体" w:hAnsi="宋体" w:cs="仿宋" w:hint="eastAsia"/>
          <w:sz w:val="22"/>
        </w:rPr>
        <w:t>□</w:t>
      </w:r>
      <w:r>
        <w:rPr>
          <w:rFonts w:ascii="宋体" w:hAnsi="宋体" w:cs="仿宋" w:hint="eastAsia"/>
          <w:sz w:val="22"/>
        </w:rPr>
        <w:t xml:space="preserve"> 3.</w:t>
      </w:r>
      <w:r>
        <w:rPr>
          <w:rFonts w:ascii="宋体" w:hAnsi="宋体" w:cs="仿宋" w:hint="eastAsia"/>
          <w:sz w:val="22"/>
        </w:rPr>
        <w:t>既是中国税收居民又是其他国家（地区）税收居民</w:t>
      </w:r>
      <w:r>
        <w:rPr>
          <w:rFonts w:ascii="宋体" w:hAnsi="宋体" w:cs="仿宋" w:hint="eastAsia"/>
          <w:sz w:val="22"/>
        </w:rPr>
        <w:t xml:space="preserve">  </w:t>
      </w:r>
    </w:p>
    <w:p w:rsidR="00066166" w:rsidRDefault="00F62BD0">
      <w:pPr>
        <w:spacing w:beforeLines="50" w:before="156" w:afterLines="50" w:after="156" w:line="480" w:lineRule="auto"/>
        <w:rPr>
          <w:rFonts w:ascii="宋体" w:hAnsi="宋体" w:cs="仿宋"/>
          <w:sz w:val="22"/>
        </w:rPr>
      </w:pPr>
      <w:r>
        <w:rPr>
          <w:rFonts w:ascii="宋体" w:hAnsi="宋体" w:cs="仿宋" w:hint="eastAsia"/>
          <w:sz w:val="22"/>
        </w:rPr>
        <w:t>如在以上选项中勾选第</w:t>
      </w:r>
      <w:r>
        <w:rPr>
          <w:rFonts w:ascii="宋体" w:hAnsi="宋体" w:cs="仿宋" w:hint="eastAsia"/>
          <w:sz w:val="22"/>
        </w:rPr>
        <w:t>2</w:t>
      </w:r>
      <w:r>
        <w:rPr>
          <w:rFonts w:ascii="宋体" w:hAnsi="宋体" w:cs="仿宋" w:hint="eastAsia"/>
          <w:sz w:val="22"/>
        </w:rPr>
        <w:t>项或者第</w:t>
      </w:r>
      <w:r>
        <w:rPr>
          <w:rFonts w:ascii="宋体" w:hAnsi="宋体" w:cs="仿宋" w:hint="eastAsia"/>
          <w:sz w:val="22"/>
        </w:rPr>
        <w:t>3</w:t>
      </w:r>
      <w:r>
        <w:rPr>
          <w:rFonts w:ascii="宋体" w:hAnsi="宋体" w:cs="仿宋" w:hint="eastAsia"/>
          <w:sz w:val="22"/>
        </w:rPr>
        <w:t>项，请填写下列信息：</w:t>
      </w:r>
    </w:p>
    <w:p w:rsidR="00066166" w:rsidRDefault="00F62BD0">
      <w:pPr>
        <w:spacing w:line="480" w:lineRule="auto"/>
        <w:rPr>
          <w:rFonts w:ascii="宋体" w:hAnsi="宋体" w:cs="仿宋"/>
          <w:sz w:val="22"/>
          <w:u w:val="single"/>
        </w:rPr>
      </w:pPr>
      <w:r>
        <w:rPr>
          <w:rFonts w:ascii="宋体" w:hAnsi="宋体" w:cs="仿宋" w:hint="eastAsia"/>
          <w:kern w:val="0"/>
          <w:sz w:val="22"/>
          <w:lang w:val="en-GB"/>
        </w:rPr>
        <w:t>姓（英文或拼音）：</w:t>
      </w:r>
      <w:r>
        <w:rPr>
          <w:rFonts w:ascii="宋体" w:hAnsi="宋体" w:cs="仿宋"/>
          <w:sz w:val="22"/>
          <w:u w:val="single"/>
        </w:rPr>
        <w:tab/>
      </w:r>
      <w:r>
        <w:rPr>
          <w:rFonts w:ascii="宋体" w:hAnsi="宋体" w:cs="仿宋" w:hint="eastAsia"/>
          <w:kern w:val="0"/>
          <w:sz w:val="22"/>
          <w:lang w:val="en-GB"/>
        </w:rPr>
        <w:t>名（英文或拼音）：</w:t>
      </w:r>
    </w:p>
    <w:p w:rsidR="00066166" w:rsidRDefault="00F62BD0">
      <w:pPr>
        <w:spacing w:line="480" w:lineRule="auto"/>
        <w:rPr>
          <w:rFonts w:ascii="宋体" w:hAnsi="宋体" w:cs="仿宋"/>
          <w:sz w:val="22"/>
        </w:rPr>
      </w:pPr>
      <w:r>
        <w:rPr>
          <w:rFonts w:ascii="宋体" w:hAnsi="宋体" w:cs="仿宋" w:hint="eastAsia"/>
          <w:sz w:val="22"/>
        </w:rPr>
        <w:t>出生日期：</w:t>
      </w:r>
    </w:p>
    <w:p w:rsidR="00066166" w:rsidRDefault="00F62BD0">
      <w:pPr>
        <w:spacing w:line="480" w:lineRule="auto"/>
        <w:rPr>
          <w:rFonts w:ascii="宋体" w:hAnsi="宋体" w:cs="仿宋"/>
          <w:sz w:val="22"/>
        </w:rPr>
      </w:pPr>
      <w:r>
        <w:rPr>
          <w:rFonts w:ascii="宋体" w:hAnsi="宋体" w:cs="仿宋" w:hint="eastAsia"/>
          <w:sz w:val="22"/>
        </w:rPr>
        <w:t>现居地址（中文）：</w:t>
      </w:r>
      <w:r>
        <w:rPr>
          <w:rFonts w:ascii="宋体" w:hAnsi="宋体" w:cs="仿宋" w:hint="eastAsia"/>
          <w:sz w:val="22"/>
          <w:u w:val="single"/>
        </w:rPr>
        <w:t xml:space="preserve">     </w:t>
      </w:r>
      <w:r>
        <w:rPr>
          <w:rFonts w:ascii="宋体" w:hAnsi="宋体" w:cs="仿宋" w:hint="eastAsia"/>
          <w:sz w:val="22"/>
          <w:u w:val="single"/>
        </w:rPr>
        <w:t>（国家）</w:t>
      </w:r>
      <w:r>
        <w:rPr>
          <w:rFonts w:ascii="宋体" w:hAnsi="宋体" w:cs="仿宋" w:hint="eastAsia"/>
          <w:sz w:val="22"/>
          <w:u w:val="single"/>
        </w:rPr>
        <w:t xml:space="preserve">    </w:t>
      </w:r>
      <w:r>
        <w:rPr>
          <w:rFonts w:ascii="宋体" w:hAnsi="宋体" w:cs="仿宋" w:hint="eastAsia"/>
          <w:sz w:val="22"/>
          <w:u w:val="single"/>
        </w:rPr>
        <w:t>（省）</w:t>
      </w:r>
      <w:r>
        <w:rPr>
          <w:rFonts w:ascii="宋体" w:hAnsi="宋体" w:cs="仿宋" w:hint="eastAsia"/>
          <w:sz w:val="22"/>
          <w:u w:val="single"/>
        </w:rPr>
        <w:t xml:space="preserve">     </w:t>
      </w:r>
      <w:r>
        <w:rPr>
          <w:rFonts w:ascii="宋体" w:hAnsi="宋体" w:cs="仿宋" w:hint="eastAsia"/>
          <w:sz w:val="22"/>
          <w:u w:val="single"/>
        </w:rPr>
        <w:t>（市）</w:t>
      </w:r>
      <w:r>
        <w:rPr>
          <w:rFonts w:ascii="宋体" w:hAnsi="宋体" w:cs="仿宋" w:hint="eastAsia"/>
          <w:sz w:val="22"/>
          <w:u w:val="single"/>
        </w:rPr>
        <w:t xml:space="preserve">           </w:t>
      </w:r>
      <w:r>
        <w:rPr>
          <w:rFonts w:ascii="宋体" w:hAnsi="宋体" w:cs="仿宋" w:hint="eastAsia"/>
          <w:sz w:val="22"/>
        </w:rPr>
        <w:t>（境外地址可不填此项）</w:t>
      </w:r>
    </w:p>
    <w:p w:rsidR="00066166" w:rsidRDefault="00F62BD0">
      <w:pPr>
        <w:spacing w:line="480" w:lineRule="auto"/>
        <w:ind w:firstLineChars="400" w:firstLine="880"/>
        <w:rPr>
          <w:rFonts w:ascii="宋体" w:hAnsi="宋体" w:cs="仿宋"/>
          <w:sz w:val="22"/>
        </w:rPr>
      </w:pPr>
      <w:r>
        <w:rPr>
          <w:rFonts w:ascii="宋体" w:hAnsi="宋体" w:cs="仿宋" w:hint="eastAsia"/>
          <w:sz w:val="22"/>
        </w:rPr>
        <w:t>（英文或拼音）：</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（国家）</w:t>
      </w:r>
      <w:r>
        <w:rPr>
          <w:rFonts w:ascii="宋体" w:hAnsi="宋体" w:cs="仿宋" w:hint="eastAsia"/>
          <w:sz w:val="22"/>
          <w:u w:val="single"/>
        </w:rPr>
        <w:t xml:space="preserve">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w:t>
      </w:r>
      <w:r>
        <w:rPr>
          <w:rFonts w:ascii="宋体" w:hAnsi="宋体" w:cs="仿宋" w:hint="eastAsia"/>
          <w:sz w:val="22"/>
          <w:u w:val="single"/>
        </w:rPr>
        <w:t>（省）</w:t>
      </w:r>
      <w:r>
        <w:rPr>
          <w:rFonts w:ascii="宋体" w:hAnsi="宋体" w:cs="仿宋" w:hint="eastAsia"/>
          <w:sz w:val="22"/>
          <w:u w:val="single"/>
        </w:rPr>
        <w:t xml:space="preserve">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w:t>
      </w:r>
      <w:r>
        <w:rPr>
          <w:rFonts w:ascii="宋体" w:hAnsi="宋体" w:cs="仿宋" w:hint="eastAsia"/>
          <w:sz w:val="22"/>
          <w:u w:val="single"/>
        </w:rPr>
        <w:t>（市）</w:t>
      </w:r>
      <w:r>
        <w:rPr>
          <w:rFonts w:ascii="宋体" w:hAnsi="宋体" w:cs="仿宋" w:hint="eastAsia"/>
          <w:sz w:val="22"/>
          <w:u w:val="single"/>
        </w:rPr>
        <w:t xml:space="preserve">           </w:t>
      </w:r>
    </w:p>
    <w:p w:rsidR="00066166" w:rsidRDefault="00F62BD0">
      <w:pPr>
        <w:spacing w:line="480" w:lineRule="auto"/>
        <w:rPr>
          <w:rFonts w:ascii="宋体" w:hAnsi="宋体" w:cs="仿宋"/>
          <w:sz w:val="22"/>
        </w:rPr>
      </w:pPr>
      <w:r>
        <w:rPr>
          <w:rFonts w:ascii="宋体" w:hAnsi="宋体" w:cs="仿宋" w:hint="eastAsia"/>
          <w:sz w:val="22"/>
        </w:rPr>
        <w:t>出生地（中文）：</w:t>
      </w:r>
      <w:r>
        <w:rPr>
          <w:rFonts w:ascii="宋体" w:hAnsi="宋体" w:cs="仿宋" w:hint="eastAsia"/>
          <w:sz w:val="22"/>
          <w:u w:val="single"/>
        </w:rPr>
        <w:t xml:space="preserve">     </w:t>
      </w:r>
      <w:r>
        <w:rPr>
          <w:rFonts w:ascii="宋体" w:hAnsi="宋体" w:cs="仿宋" w:hint="eastAsia"/>
          <w:sz w:val="22"/>
          <w:u w:val="single"/>
        </w:rPr>
        <w:t>（国家）</w:t>
      </w:r>
      <w:r>
        <w:rPr>
          <w:rFonts w:ascii="宋体" w:hAnsi="宋体" w:cs="仿宋" w:hint="eastAsia"/>
          <w:sz w:val="22"/>
          <w:u w:val="single"/>
        </w:rPr>
        <w:t xml:space="preserve">    </w:t>
      </w:r>
      <w:r>
        <w:rPr>
          <w:rFonts w:ascii="宋体" w:hAnsi="宋体" w:cs="仿宋" w:hint="eastAsia"/>
          <w:sz w:val="22"/>
          <w:u w:val="single"/>
        </w:rPr>
        <w:t>（省）</w:t>
      </w:r>
      <w:r>
        <w:rPr>
          <w:rFonts w:ascii="宋体" w:hAnsi="宋体" w:cs="仿宋" w:hint="eastAsia"/>
          <w:sz w:val="22"/>
          <w:u w:val="single"/>
        </w:rPr>
        <w:t xml:space="preserve">     </w:t>
      </w:r>
      <w:r>
        <w:rPr>
          <w:rFonts w:ascii="宋体" w:hAnsi="宋体" w:cs="仿宋" w:hint="eastAsia"/>
          <w:sz w:val="22"/>
          <w:u w:val="single"/>
        </w:rPr>
        <w:t>（市）</w:t>
      </w:r>
      <w:r>
        <w:rPr>
          <w:rFonts w:ascii="宋体" w:hAnsi="宋体" w:cs="仿宋" w:hint="eastAsia"/>
          <w:sz w:val="22"/>
          <w:u w:val="single"/>
        </w:rPr>
        <w:t xml:space="preserve">            </w:t>
      </w:r>
      <w:r>
        <w:rPr>
          <w:rFonts w:ascii="宋体" w:hAnsi="宋体" w:cs="仿宋" w:hint="eastAsia"/>
          <w:sz w:val="22"/>
        </w:rPr>
        <w:t>（境外地址可不填此项）</w:t>
      </w:r>
    </w:p>
    <w:p w:rsidR="00066166" w:rsidRDefault="00F62BD0">
      <w:pPr>
        <w:spacing w:line="480" w:lineRule="auto"/>
        <w:ind w:firstLineChars="350" w:firstLine="770"/>
        <w:rPr>
          <w:rFonts w:ascii="宋体" w:hAnsi="宋体" w:cs="仿宋"/>
          <w:sz w:val="22"/>
        </w:rPr>
      </w:pPr>
      <w:r>
        <w:rPr>
          <w:rFonts w:ascii="宋体" w:hAnsi="宋体" w:cs="仿宋" w:hint="eastAsia"/>
          <w:sz w:val="22"/>
        </w:rPr>
        <w:t>（英文或拼音）：</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w:t>
      </w:r>
      <w:r>
        <w:rPr>
          <w:rFonts w:ascii="宋体" w:hAnsi="宋体" w:cs="仿宋" w:hint="eastAsia"/>
          <w:sz w:val="22"/>
          <w:u w:val="single"/>
        </w:rPr>
        <w:t>（国家）</w:t>
      </w:r>
      <w:r>
        <w:rPr>
          <w:rFonts w:ascii="宋体" w:hAnsi="宋体" w:cs="仿宋" w:hint="eastAsia"/>
          <w:sz w:val="22"/>
          <w:u w:val="single"/>
        </w:rPr>
        <w:t xml:space="preserve">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w:t>
      </w:r>
      <w:r>
        <w:rPr>
          <w:rFonts w:ascii="宋体" w:hAnsi="宋体" w:cs="仿宋" w:hint="eastAsia"/>
          <w:sz w:val="22"/>
          <w:u w:val="single"/>
        </w:rPr>
        <w:t>（省）</w:t>
      </w:r>
      <w:r>
        <w:rPr>
          <w:rFonts w:ascii="宋体" w:hAnsi="宋体" w:cs="仿宋" w:hint="eastAsia"/>
          <w:sz w:val="22"/>
          <w:u w:val="single"/>
        </w:rPr>
        <w:t xml:space="preserve">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w:t>
      </w:r>
      <w:r>
        <w:rPr>
          <w:rFonts w:ascii="宋体" w:hAnsi="宋体" w:cs="仿宋" w:hint="eastAsia"/>
          <w:sz w:val="22"/>
          <w:u w:val="single"/>
        </w:rPr>
        <w:t>（市）</w:t>
      </w:r>
      <w:r>
        <w:rPr>
          <w:rFonts w:ascii="宋体" w:hAnsi="宋体" w:cs="仿宋" w:hint="eastAsia"/>
          <w:sz w:val="22"/>
          <w:u w:val="single"/>
        </w:rPr>
        <w:t xml:space="preserve">            </w:t>
      </w:r>
    </w:p>
    <w:p w:rsidR="00066166" w:rsidRDefault="00F62BD0">
      <w:pPr>
        <w:spacing w:line="480" w:lineRule="auto"/>
        <w:rPr>
          <w:rFonts w:ascii="宋体" w:hAnsi="宋体"/>
          <w:sz w:val="22"/>
        </w:rPr>
      </w:pPr>
      <w:r>
        <w:rPr>
          <w:rFonts w:ascii="宋体" w:hAnsi="宋体" w:cs="仿宋" w:hint="eastAsia"/>
          <w:sz w:val="22"/>
        </w:rPr>
        <w:t>税收居民国（地区）及纳税人识别号：</w:t>
      </w:r>
    </w:p>
    <w:p w:rsidR="00066166" w:rsidRDefault="00F62BD0">
      <w:pPr>
        <w:spacing w:line="480" w:lineRule="auto"/>
        <w:ind w:leftChars="200" w:left="420"/>
        <w:jc w:val="left"/>
        <w:rPr>
          <w:rFonts w:ascii="宋体" w:hAnsi="宋体" w:cs="仿宋"/>
          <w:sz w:val="22"/>
        </w:rPr>
      </w:pPr>
      <w:r>
        <w:rPr>
          <w:rFonts w:ascii="宋体" w:hAnsi="宋体" w:cs="仿宋" w:hint="eastAsia"/>
          <w:sz w:val="22"/>
          <w:u w:val="single"/>
        </w:rPr>
        <w:t xml:space="preserve">1.                                    </w:t>
      </w:r>
    </w:p>
    <w:p w:rsidR="00066166" w:rsidRDefault="00F62BD0">
      <w:pPr>
        <w:spacing w:line="480" w:lineRule="auto"/>
        <w:ind w:leftChars="200" w:left="420"/>
        <w:jc w:val="left"/>
        <w:rPr>
          <w:rFonts w:ascii="宋体" w:hAnsi="宋体" w:cs="仿宋"/>
          <w:sz w:val="22"/>
          <w:u w:val="single"/>
        </w:rPr>
      </w:pPr>
      <w:r>
        <w:rPr>
          <w:rFonts w:ascii="宋体" w:hAnsi="宋体" w:cs="仿宋" w:hint="eastAsia"/>
          <w:sz w:val="22"/>
          <w:u w:val="single"/>
        </w:rPr>
        <w:t>2.</w:t>
      </w:r>
      <w:r>
        <w:rPr>
          <w:rFonts w:ascii="宋体" w:hAnsi="宋体" w:cs="仿宋" w:hint="eastAsia"/>
          <w:sz w:val="22"/>
          <w:u w:val="single"/>
        </w:rPr>
        <w:t>（如有）</w:t>
      </w:r>
      <w:r>
        <w:rPr>
          <w:rFonts w:ascii="宋体" w:hAnsi="宋体" w:cs="仿宋" w:hint="eastAsia"/>
          <w:sz w:val="22"/>
          <w:u w:val="single"/>
        </w:rPr>
        <w:t xml:space="preserve">                            </w:t>
      </w:r>
    </w:p>
    <w:p w:rsidR="00066166" w:rsidRDefault="00F62BD0">
      <w:pPr>
        <w:spacing w:line="480" w:lineRule="auto"/>
        <w:ind w:leftChars="200" w:left="420"/>
        <w:jc w:val="left"/>
        <w:rPr>
          <w:rFonts w:ascii="宋体" w:hAnsi="宋体" w:cs="仿宋"/>
          <w:sz w:val="22"/>
          <w:u w:val="single"/>
        </w:rPr>
      </w:pPr>
      <w:r>
        <w:rPr>
          <w:rFonts w:ascii="宋体" w:hAnsi="宋体" w:cs="仿宋" w:hint="eastAsia"/>
          <w:sz w:val="22"/>
          <w:u w:val="single"/>
        </w:rPr>
        <w:t>3.</w:t>
      </w:r>
      <w:r>
        <w:rPr>
          <w:rFonts w:ascii="宋体" w:hAnsi="宋体" w:cs="仿宋" w:hint="eastAsia"/>
          <w:sz w:val="22"/>
          <w:u w:val="single"/>
        </w:rPr>
        <w:t>（如有）</w:t>
      </w:r>
      <w:r>
        <w:rPr>
          <w:rFonts w:ascii="宋体" w:hAnsi="宋体" w:cs="仿宋" w:hint="eastAsia"/>
          <w:sz w:val="22"/>
          <w:u w:val="single"/>
        </w:rPr>
        <w:t xml:space="preserve">                            </w:t>
      </w:r>
    </w:p>
    <w:p w:rsidR="00066166" w:rsidRDefault="00F62BD0">
      <w:pPr>
        <w:spacing w:line="480" w:lineRule="auto"/>
        <w:rPr>
          <w:rFonts w:ascii="宋体" w:hAnsi="宋体"/>
          <w:sz w:val="22"/>
        </w:rPr>
      </w:pPr>
      <w:r>
        <w:rPr>
          <w:rFonts w:ascii="宋体" w:hAnsi="宋体" w:cs="仿宋" w:hint="eastAsia"/>
          <w:sz w:val="22"/>
        </w:rPr>
        <w:t>如不能提供居民国（地区）纳税人识别号，请选择原因：</w:t>
      </w:r>
    </w:p>
    <w:p w:rsidR="00066166" w:rsidRDefault="00F62BD0">
      <w:pPr>
        <w:spacing w:line="480" w:lineRule="auto"/>
        <w:ind w:leftChars="200" w:left="420"/>
        <w:rPr>
          <w:rFonts w:ascii="宋体" w:hAnsi="宋体"/>
          <w:sz w:val="22"/>
        </w:rPr>
      </w:pPr>
      <w:r>
        <w:rPr>
          <w:rFonts w:ascii="宋体" w:hAnsi="宋体" w:cs="仿宋" w:hint="eastAsia"/>
          <w:sz w:val="22"/>
        </w:rPr>
        <w:t>□</w:t>
      </w:r>
      <w:r>
        <w:rPr>
          <w:rFonts w:ascii="宋体" w:hAnsi="宋体" w:cs="仿宋" w:hint="eastAsia"/>
          <w:sz w:val="22"/>
        </w:rPr>
        <w:t xml:space="preserve"> </w:t>
      </w:r>
      <w:r>
        <w:rPr>
          <w:rFonts w:ascii="宋体" w:hAnsi="宋体" w:cs="仿宋" w:hint="eastAsia"/>
          <w:sz w:val="22"/>
        </w:rPr>
        <w:t>居民国（地区）不发放纳税人识别号</w:t>
      </w:r>
    </w:p>
    <w:p w:rsidR="00066166" w:rsidRDefault="00F62BD0">
      <w:pPr>
        <w:spacing w:line="480" w:lineRule="auto"/>
        <w:ind w:leftChars="200" w:left="420"/>
        <w:rPr>
          <w:rFonts w:ascii="宋体" w:hAnsi="宋体"/>
          <w:sz w:val="22"/>
        </w:rPr>
      </w:pPr>
      <w:r>
        <w:rPr>
          <w:rFonts w:ascii="宋体" w:hAnsi="宋体" w:cs="仿宋" w:hint="eastAsia"/>
          <w:sz w:val="22"/>
        </w:rPr>
        <w:t>□</w:t>
      </w:r>
      <w:r>
        <w:rPr>
          <w:rFonts w:ascii="宋体" w:hAnsi="宋体" w:cs="仿宋" w:hint="eastAsia"/>
          <w:sz w:val="22"/>
        </w:rPr>
        <w:t xml:space="preserve"> </w:t>
      </w:r>
      <w:r>
        <w:rPr>
          <w:rFonts w:ascii="宋体" w:hAnsi="宋体" w:cs="仿宋" w:hint="eastAsia"/>
          <w:sz w:val="22"/>
        </w:rPr>
        <w:t>账户持有人未能取得纳税人识别号，如选此项，请解释具体原因：</w:t>
      </w:r>
    </w:p>
    <w:p w:rsidR="00066166" w:rsidRDefault="00066166">
      <w:pPr>
        <w:spacing w:line="480" w:lineRule="auto"/>
        <w:ind w:leftChars="200" w:left="420"/>
        <w:rPr>
          <w:rFonts w:ascii="宋体" w:hAnsi="宋体" w:cs="仿宋"/>
          <w:sz w:val="22"/>
          <w:u w:val="single"/>
        </w:rPr>
      </w:pPr>
    </w:p>
    <w:p w:rsidR="00066166" w:rsidRDefault="00066166">
      <w:pPr>
        <w:spacing w:line="360" w:lineRule="auto"/>
        <w:rPr>
          <w:rFonts w:ascii="宋体" w:hAnsi="宋体"/>
          <w:sz w:val="22"/>
        </w:rPr>
      </w:pPr>
    </w:p>
    <w:p w:rsidR="00066166" w:rsidRDefault="00F62BD0">
      <w:pPr>
        <w:spacing w:line="360" w:lineRule="auto"/>
        <w:ind w:firstLineChars="200" w:firstLine="440"/>
        <w:rPr>
          <w:rFonts w:ascii="宋体" w:hAnsi="宋体"/>
          <w:sz w:val="22"/>
        </w:rPr>
      </w:pPr>
      <w:r>
        <w:rPr>
          <w:rFonts w:ascii="宋体" w:hAnsi="宋体" w:cs="仿宋" w:hint="eastAsia"/>
          <w:sz w:val="22"/>
        </w:rPr>
        <w:t>本人确认上述信息的真实、准确和完整，且当这些信息发生变更时，将在</w:t>
      </w:r>
      <w:r>
        <w:rPr>
          <w:rFonts w:ascii="宋体" w:hAnsi="宋体" w:cs="仿宋" w:hint="eastAsia"/>
          <w:sz w:val="22"/>
        </w:rPr>
        <w:t>30</w:t>
      </w:r>
      <w:r>
        <w:rPr>
          <w:rFonts w:ascii="宋体" w:hAnsi="宋体" w:cs="仿宋" w:hint="eastAsia"/>
          <w:sz w:val="22"/>
        </w:rPr>
        <w:t>日内通知贵机构，否则本人承担由此造成的不利后果。</w:t>
      </w:r>
    </w:p>
    <w:p w:rsidR="00066166" w:rsidRDefault="00066166">
      <w:pPr>
        <w:spacing w:line="288" w:lineRule="auto"/>
        <w:jc w:val="left"/>
        <w:rPr>
          <w:rFonts w:ascii="宋体" w:hAnsi="宋体"/>
          <w:sz w:val="22"/>
        </w:rPr>
      </w:pPr>
    </w:p>
    <w:p w:rsidR="00066166" w:rsidRDefault="00F62BD0">
      <w:pPr>
        <w:spacing w:afterLines="100" w:after="312" w:line="288" w:lineRule="auto"/>
        <w:jc w:val="left"/>
        <w:rPr>
          <w:rFonts w:ascii="宋体" w:hAnsi="宋体"/>
          <w:sz w:val="22"/>
        </w:rPr>
      </w:pPr>
      <w:r>
        <w:rPr>
          <w:rFonts w:ascii="宋体" w:hAnsi="宋体" w:cs="仿宋" w:hint="eastAsia"/>
          <w:sz w:val="22"/>
        </w:rPr>
        <w:t>签名：</w:t>
      </w:r>
      <w:r>
        <w:rPr>
          <w:rFonts w:ascii="宋体" w:hAnsi="宋体" w:cs="仿宋" w:hint="eastAsia"/>
          <w:sz w:val="22"/>
        </w:rPr>
        <w:t xml:space="preserve">                                   </w:t>
      </w:r>
      <w:r>
        <w:rPr>
          <w:rFonts w:ascii="宋体" w:hAnsi="宋体" w:cs="仿宋" w:hint="eastAsia"/>
          <w:sz w:val="22"/>
        </w:rPr>
        <w:t>日期：</w:t>
      </w:r>
    </w:p>
    <w:p w:rsidR="00066166" w:rsidRDefault="00F62BD0">
      <w:pPr>
        <w:pBdr>
          <w:bottom w:val="single" w:sz="6" w:space="1" w:color="auto"/>
        </w:pBdr>
        <w:spacing w:afterLines="100" w:after="312" w:line="288" w:lineRule="auto"/>
        <w:rPr>
          <w:rFonts w:ascii="宋体" w:hAnsi="宋体" w:cs="仿宋"/>
          <w:sz w:val="22"/>
        </w:rPr>
      </w:pPr>
      <w:r>
        <w:rPr>
          <w:rFonts w:ascii="宋体" w:hAnsi="宋体" w:cs="仿宋" w:hint="eastAsia"/>
          <w:sz w:val="22"/>
        </w:rPr>
        <w:t>签名人身份：□</w:t>
      </w:r>
      <w:r>
        <w:rPr>
          <w:rFonts w:ascii="宋体" w:hAnsi="宋体" w:cs="仿宋" w:hint="eastAsia"/>
          <w:sz w:val="22"/>
        </w:rPr>
        <w:t xml:space="preserve"> </w:t>
      </w:r>
      <w:r>
        <w:rPr>
          <w:rFonts w:ascii="宋体" w:hAnsi="宋体" w:cs="仿宋" w:hint="eastAsia"/>
          <w:sz w:val="22"/>
        </w:rPr>
        <w:t>本人</w:t>
      </w:r>
      <w:r>
        <w:rPr>
          <w:rFonts w:ascii="宋体" w:hAnsi="宋体" w:cs="仿宋" w:hint="eastAsia"/>
          <w:sz w:val="22"/>
        </w:rPr>
        <w:t xml:space="preserve">    </w:t>
      </w:r>
      <w:r>
        <w:rPr>
          <w:rFonts w:ascii="宋体" w:hAnsi="宋体" w:cs="仿宋" w:hint="eastAsia"/>
          <w:sz w:val="22"/>
        </w:rPr>
        <w:t>□</w:t>
      </w:r>
      <w:r>
        <w:rPr>
          <w:rFonts w:ascii="宋体" w:hAnsi="宋体" w:cs="仿宋" w:hint="eastAsia"/>
          <w:sz w:val="22"/>
        </w:rPr>
        <w:t xml:space="preserve"> </w:t>
      </w:r>
      <w:r>
        <w:rPr>
          <w:rFonts w:ascii="宋体" w:hAnsi="宋体" w:cs="仿宋" w:hint="eastAsia"/>
          <w:sz w:val="22"/>
        </w:rPr>
        <w:t>代理人</w:t>
      </w:r>
      <w:r>
        <w:rPr>
          <w:rFonts w:ascii="宋体" w:hAnsi="宋体" w:cs="仿宋" w:hint="eastAsia"/>
          <w:sz w:val="22"/>
        </w:rPr>
        <w:t xml:space="preserve">  </w:t>
      </w:r>
    </w:p>
    <w:p w:rsidR="00066166" w:rsidRDefault="00066166">
      <w:pPr>
        <w:spacing w:line="288" w:lineRule="auto"/>
        <w:jc w:val="left"/>
        <w:rPr>
          <w:rFonts w:ascii="宋体" w:hAnsi="宋体" w:cs="仿宋"/>
          <w:b/>
          <w:i/>
          <w:kern w:val="0"/>
          <w:lang w:val="en-GB"/>
        </w:rPr>
      </w:pPr>
    </w:p>
    <w:p w:rsidR="00066166" w:rsidRDefault="00066166">
      <w:pPr>
        <w:spacing w:line="288" w:lineRule="auto"/>
        <w:jc w:val="left"/>
        <w:rPr>
          <w:rFonts w:ascii="宋体" w:hAnsi="宋体" w:cs="仿宋"/>
          <w:b/>
          <w:i/>
          <w:kern w:val="0"/>
          <w:sz w:val="20"/>
          <w:lang w:val="en-GB"/>
        </w:rPr>
      </w:pP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以下为声明审查人员填写：</w:t>
      </w:r>
    </w:p>
    <w:p w:rsidR="00066166" w:rsidRDefault="00F62BD0">
      <w:pPr>
        <w:spacing w:line="480" w:lineRule="auto"/>
        <w:ind w:leftChars="200" w:left="420"/>
        <w:jc w:val="left"/>
        <w:rPr>
          <w:rFonts w:ascii="宋体" w:hAnsi="宋体" w:cs="仿宋"/>
          <w:kern w:val="0"/>
          <w:sz w:val="22"/>
          <w:lang w:val="en-GB"/>
        </w:rPr>
      </w:pPr>
      <w:r>
        <w:rPr>
          <w:rFonts w:ascii="宋体" w:hAnsi="宋体" w:cs="仿宋" w:hint="eastAsia"/>
          <w:kern w:val="0"/>
          <w:sz w:val="22"/>
          <w:lang w:val="en-GB"/>
        </w:rPr>
        <w:t>审核资料：</w:t>
      </w:r>
    </w:p>
    <w:p w:rsidR="00066166" w:rsidRDefault="00F62BD0">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□申请人填妥声明文件内容</w:t>
      </w:r>
    </w:p>
    <w:p w:rsidR="00066166" w:rsidRDefault="00F62BD0">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□合理性证明文件</w:t>
      </w: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经办人（审核）：</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负责人（复核）：</w:t>
      </w: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日期：</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日期：</w:t>
      </w:r>
    </w:p>
    <w:p w:rsidR="00066166" w:rsidRDefault="00066166">
      <w:pPr>
        <w:spacing w:line="288" w:lineRule="auto"/>
        <w:jc w:val="left"/>
        <w:rPr>
          <w:rFonts w:ascii="仿宋" w:eastAsia="仿宋" w:hAnsi="仿宋" w:cs="仿宋"/>
          <w:b/>
          <w:i/>
          <w:kern w:val="0"/>
          <w:lang w:val="en-GB"/>
        </w:rPr>
      </w:pPr>
    </w:p>
    <w:p w:rsidR="00066166" w:rsidRDefault="00066166">
      <w:pPr>
        <w:spacing w:line="288" w:lineRule="auto"/>
        <w:jc w:val="left"/>
        <w:rPr>
          <w:rFonts w:ascii="仿宋" w:eastAsia="仿宋" w:hAnsi="仿宋" w:cs="仿宋"/>
          <w:b/>
          <w:i/>
          <w:kern w:val="0"/>
          <w:lang w:val="en-GB"/>
        </w:rPr>
      </w:pPr>
    </w:p>
    <w:p w:rsidR="00066166" w:rsidRDefault="00F62BD0">
      <w:pPr>
        <w:spacing w:line="288" w:lineRule="auto"/>
        <w:jc w:val="left"/>
        <w:rPr>
          <w:rFonts w:ascii="仿宋" w:eastAsia="仿宋" w:hAnsi="仿宋"/>
          <w:b/>
          <w:i/>
          <w:kern w:val="0"/>
          <w:lang w:val="en-GB"/>
        </w:rPr>
      </w:pPr>
      <w:r>
        <w:rPr>
          <w:rFonts w:ascii="仿宋" w:eastAsia="仿宋" w:hAnsi="仿宋" w:cs="仿宋" w:hint="eastAsia"/>
          <w:b/>
          <w:i/>
          <w:kern w:val="0"/>
          <w:lang w:val="en-GB"/>
        </w:rPr>
        <w:t>说明：</w:t>
      </w:r>
    </w:p>
    <w:p w:rsidR="00066166" w:rsidRDefault="00F62BD0">
      <w:pPr>
        <w:spacing w:line="288" w:lineRule="auto"/>
        <w:ind w:left="315" w:hangingChars="150" w:hanging="315"/>
        <w:jc w:val="left"/>
        <w:rPr>
          <w:rFonts w:ascii="仿宋_GB2312" w:eastAsia="仿宋_GB2312" w:hAnsi="仿宋"/>
          <w:kern w:val="0"/>
          <w:lang w:val="en-GB"/>
        </w:rPr>
      </w:pPr>
      <w:r>
        <w:rPr>
          <w:rFonts w:ascii="仿宋_GB2312" w:eastAsia="仿宋_GB2312" w:hAnsi="仿宋" w:cs="仿宋" w:hint="eastAsia"/>
          <w:kern w:val="0"/>
          <w:lang w:val="en-GB"/>
        </w:rPr>
        <w:t xml:space="preserve">1. </w:t>
      </w:r>
      <w:r>
        <w:rPr>
          <w:rFonts w:ascii="仿宋_GB2312" w:eastAsia="仿宋_GB2312" w:hAnsi="仿宋" w:cs="仿宋" w:hint="eastAsia"/>
          <w:kern w:val="0"/>
          <w:lang w:val="en-GB"/>
        </w:rPr>
        <w:t>本表所称中国税收居民是指在中国境内有住所，或者无住所而在境内居住满一年的个人。在中国境内有住所是指因户籍、家庭、经济利益关系而在中国境内习惯性居住。在境内居住满一年，是指在一个纳税年度中在中国境内居住</w:t>
      </w:r>
      <w:r>
        <w:rPr>
          <w:rFonts w:ascii="仿宋_GB2312" w:eastAsia="仿宋_GB2312" w:hAnsi="仿宋" w:cs="仿宋" w:hint="eastAsia"/>
          <w:kern w:val="0"/>
          <w:lang w:val="en-GB"/>
        </w:rPr>
        <w:t>365</w:t>
      </w:r>
      <w:r>
        <w:rPr>
          <w:rFonts w:ascii="仿宋_GB2312" w:eastAsia="仿宋_GB2312" w:hAnsi="仿宋" w:cs="仿宋" w:hint="eastAsia"/>
          <w:kern w:val="0"/>
          <w:lang w:val="en-GB"/>
        </w:rPr>
        <w:t>日。临时离境的，不扣减日数。临时离境，是指在一个纳税年度中一次不超过</w:t>
      </w:r>
      <w:r>
        <w:rPr>
          <w:rFonts w:ascii="仿宋_GB2312" w:eastAsia="仿宋_GB2312" w:hAnsi="仿宋" w:cs="仿宋" w:hint="eastAsia"/>
          <w:kern w:val="0"/>
          <w:lang w:val="en-GB"/>
        </w:rPr>
        <w:t>30</w:t>
      </w:r>
      <w:r>
        <w:rPr>
          <w:rFonts w:ascii="仿宋_GB2312" w:eastAsia="仿宋_GB2312" w:hAnsi="仿宋" w:cs="仿宋" w:hint="eastAsia"/>
          <w:kern w:val="0"/>
          <w:lang w:val="en-GB"/>
        </w:rPr>
        <w:t>日或者多次累计不超过</w:t>
      </w:r>
      <w:r>
        <w:rPr>
          <w:rFonts w:ascii="仿宋_GB2312" w:eastAsia="仿宋_GB2312" w:hAnsi="仿宋" w:cs="仿宋" w:hint="eastAsia"/>
          <w:kern w:val="0"/>
          <w:lang w:val="en-GB"/>
        </w:rPr>
        <w:t>90</w:t>
      </w:r>
      <w:r>
        <w:rPr>
          <w:rFonts w:ascii="仿宋_GB2312" w:eastAsia="仿宋_GB2312" w:hAnsi="仿宋" w:cs="仿宋" w:hint="eastAsia"/>
          <w:kern w:val="0"/>
          <w:lang w:val="en-GB"/>
        </w:rPr>
        <w:t>日的离境。</w:t>
      </w:r>
    </w:p>
    <w:p w:rsidR="00066166" w:rsidRDefault="00F62BD0">
      <w:pPr>
        <w:spacing w:line="288" w:lineRule="auto"/>
        <w:ind w:left="315" w:hangingChars="150" w:hanging="315"/>
        <w:jc w:val="left"/>
        <w:rPr>
          <w:rFonts w:ascii="仿宋_GB2312" w:eastAsia="仿宋_GB2312" w:hAnsi="仿宋"/>
          <w:kern w:val="0"/>
          <w:lang w:val="en-GB"/>
        </w:rPr>
      </w:pPr>
      <w:r>
        <w:rPr>
          <w:rFonts w:ascii="仿宋_GB2312" w:eastAsia="仿宋_GB2312" w:hAnsi="仿宋" w:cs="仿宋" w:hint="eastAsia"/>
          <w:kern w:val="0"/>
          <w:lang w:val="en-GB"/>
        </w:rPr>
        <w:t xml:space="preserve">2. </w:t>
      </w:r>
      <w:r>
        <w:rPr>
          <w:rFonts w:ascii="仿宋_GB2312" w:eastAsia="仿宋_GB2312" w:hAnsi="仿宋" w:cs="仿宋" w:hint="eastAsia"/>
          <w:kern w:val="0"/>
          <w:lang w:val="en-GB"/>
        </w:rPr>
        <w:t>本表所称非居民是指中国税收居民以外的个人。其他国家（地区）税收居民身份认定规则及纳税人识别号相关信息请参见国家税务总局网站（</w:t>
      </w:r>
      <w:r>
        <w:rPr>
          <w:rFonts w:ascii="仿宋_GB2312" w:eastAsia="仿宋_GB2312" w:hAnsi="仿宋" w:cs="仿宋" w:hint="eastAsia"/>
          <w:kern w:val="0"/>
          <w:lang w:val="en-GB"/>
        </w:rPr>
        <w:t>http://</w:t>
      </w:r>
      <w:hyperlink r:id="rId17"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w:t>
      </w:r>
      <w:r>
        <w:rPr>
          <w:rFonts w:ascii="仿宋_GB2312" w:eastAsia="仿宋_GB2312" w:hAnsi="仿宋" w:cs="仿宋" w:hint="eastAsia"/>
          <w:kern w:val="0"/>
          <w:lang w:val="en-GB"/>
        </w:rPr>
        <w:t>）。</w:t>
      </w:r>
    </w:p>
    <w:p w:rsidR="00066166" w:rsidRDefault="00F62BD0">
      <w:pPr>
        <w:pStyle w:val="a8"/>
        <w:rPr>
          <w:rFonts w:ascii="仿宋_GB2312" w:eastAsia="仿宋_GB2312" w:hAnsi="仿宋"/>
          <w:kern w:val="0"/>
          <w:lang w:val="en-GB"/>
        </w:rPr>
      </w:pPr>
      <w:r>
        <w:rPr>
          <w:rFonts w:ascii="仿宋_GB2312" w:eastAsia="仿宋_GB2312" w:hAnsi="仿宋" w:hint="eastAsia"/>
          <w:kern w:val="0"/>
          <w:lang w:val="en-GB"/>
        </w:rPr>
        <w:t xml:space="preserve">3. </w:t>
      </w:r>
      <w:r>
        <w:rPr>
          <w:rFonts w:ascii="仿宋_GB2312" w:eastAsia="仿宋_GB2312" w:hAnsi="仿宋" w:hint="eastAsia"/>
          <w:kern w:val="0"/>
          <w:lang w:val="en-GB"/>
        </w:rPr>
        <w:t>军人、武装警察无需填写此声明文件。</w:t>
      </w:r>
    </w:p>
    <w:p w:rsidR="00066166" w:rsidRDefault="00F62BD0">
      <w:pPr>
        <w:widowControl/>
        <w:jc w:val="left"/>
        <w:rPr>
          <w:rFonts w:ascii="仿宋_GB2312" w:eastAsia="仿宋_GB2312" w:hAnsi="仿宋"/>
          <w:kern w:val="0"/>
          <w:szCs w:val="21"/>
          <w:lang w:val="en-GB"/>
        </w:rPr>
      </w:pPr>
      <w:r>
        <w:rPr>
          <w:rFonts w:ascii="仿宋_GB2312" w:eastAsia="仿宋_GB2312" w:hAnsi="仿宋"/>
          <w:kern w:val="0"/>
          <w:lang w:val="en-GB"/>
        </w:rPr>
        <w:br w:type="page"/>
      </w:r>
    </w:p>
    <w:p w:rsidR="00066166" w:rsidRDefault="00F62BD0">
      <w:pPr>
        <w:spacing w:beforeLines="50" w:before="156" w:afterLines="50" w:after="156" w:line="360" w:lineRule="auto"/>
        <w:outlineLvl w:val="0"/>
        <w:rPr>
          <w:rFonts w:eastAsia="楷体_GB2312"/>
          <w:b/>
          <w:sz w:val="24"/>
        </w:rPr>
      </w:pPr>
      <w:bookmarkStart w:id="369" w:name="_Toc24977189"/>
      <w:bookmarkStart w:id="370" w:name="_Toc59631233"/>
      <w:bookmarkStart w:id="371" w:name="_Toc512363502"/>
      <w:bookmarkStart w:id="372" w:name="_Toc91143630"/>
      <w:bookmarkStart w:id="373" w:name="_Toc46056571"/>
      <w:bookmarkStart w:id="374" w:name="_Toc46069735"/>
      <w:r>
        <w:rPr>
          <w:rFonts w:eastAsia="楷体_GB2312" w:hint="eastAsia"/>
          <w:b/>
          <w:sz w:val="24"/>
        </w:rPr>
        <w:t>附件四：机构税收居民身份声明文件</w:t>
      </w:r>
      <w:bookmarkEnd w:id="369"/>
      <w:bookmarkEnd w:id="370"/>
      <w:bookmarkEnd w:id="371"/>
      <w:bookmarkEnd w:id="372"/>
      <w:bookmarkEnd w:id="373"/>
      <w:bookmarkEnd w:id="374"/>
    </w:p>
    <w:p w:rsidR="00066166" w:rsidRDefault="00F62BD0">
      <w:pPr>
        <w:spacing w:line="480" w:lineRule="auto"/>
        <w:rPr>
          <w:rFonts w:ascii="宋体" w:hAnsi="宋体" w:cs="仿宋"/>
          <w:u w:val="single"/>
        </w:rPr>
      </w:pPr>
      <w:r>
        <w:rPr>
          <w:rFonts w:ascii="宋体" w:hAnsi="宋体" w:cs="仿宋" w:hint="eastAsia"/>
          <w:kern w:val="0"/>
          <w:lang w:val="en-GB"/>
        </w:rPr>
        <w:t>机构名称：</w:t>
      </w:r>
    </w:p>
    <w:p w:rsidR="00066166" w:rsidRDefault="00F62BD0">
      <w:pPr>
        <w:spacing w:line="480" w:lineRule="auto"/>
        <w:rPr>
          <w:rFonts w:ascii="宋体" w:hAnsi="宋体" w:cs="仿宋"/>
        </w:rPr>
      </w:pPr>
      <w:r>
        <w:rPr>
          <w:rFonts w:ascii="宋体" w:hAnsi="宋体" w:cs="仿宋" w:hint="eastAsia"/>
        </w:rPr>
        <w:t>证照类型：□营业执照</w:t>
      </w:r>
      <w:r>
        <w:rPr>
          <w:rFonts w:ascii="宋体" w:hAnsi="宋体" w:cs="仿宋"/>
        </w:rPr>
        <w:tab/>
      </w:r>
      <w:r>
        <w:rPr>
          <w:rFonts w:ascii="宋体" w:hAnsi="宋体" w:cs="仿宋"/>
        </w:rPr>
        <w:tab/>
      </w:r>
      <w:r>
        <w:rPr>
          <w:rFonts w:ascii="宋体" w:hAnsi="宋体" w:cs="仿宋"/>
        </w:rPr>
        <w:tab/>
      </w:r>
      <w:r>
        <w:rPr>
          <w:rFonts w:ascii="宋体" w:hAnsi="宋体" w:cs="仿宋" w:hint="eastAsia"/>
        </w:rPr>
        <w:t>□其他</w:t>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hint="eastAsia"/>
        </w:rPr>
        <w:t>请注明</w:t>
      </w:r>
    </w:p>
    <w:p w:rsidR="00066166" w:rsidRDefault="00F62BD0">
      <w:pPr>
        <w:spacing w:line="480" w:lineRule="auto"/>
        <w:rPr>
          <w:rFonts w:ascii="宋体" w:hAnsi="宋体" w:cs="仿宋"/>
          <w:u w:val="single"/>
        </w:rPr>
      </w:pPr>
      <w:r>
        <w:rPr>
          <w:rFonts w:ascii="宋体" w:hAnsi="宋体" w:cs="仿宋" w:hint="eastAsia"/>
        </w:rPr>
        <w:t>证照号码：</w:t>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p>
    <w:p w:rsidR="00066166" w:rsidRDefault="00F62BD0">
      <w:pPr>
        <w:spacing w:line="480" w:lineRule="auto"/>
        <w:rPr>
          <w:rFonts w:ascii="宋体" w:hAnsi="宋体" w:cs="仿宋"/>
          <w:b/>
        </w:rPr>
      </w:pPr>
      <w:r>
        <w:rPr>
          <w:rFonts w:ascii="宋体" w:hAnsi="宋体" w:cs="仿宋" w:hint="eastAsia"/>
          <w:b/>
        </w:rPr>
        <w:t>一、机构类别：</w:t>
      </w:r>
    </w:p>
    <w:p w:rsidR="00066166" w:rsidRDefault="00F62BD0">
      <w:pPr>
        <w:spacing w:line="480" w:lineRule="auto"/>
        <w:ind w:leftChars="100" w:left="210"/>
        <w:rPr>
          <w:rFonts w:ascii="宋体" w:hAnsi="宋体" w:cs="仿宋"/>
        </w:rPr>
      </w:pPr>
      <w:r>
        <w:rPr>
          <w:rFonts w:ascii="宋体" w:hAnsi="宋体" w:cs="仿宋" w:hint="eastAsia"/>
        </w:rPr>
        <w:t>□</w:t>
      </w:r>
      <w:r>
        <w:rPr>
          <w:rFonts w:ascii="宋体" w:hAnsi="宋体" w:cs="仿宋" w:hint="eastAsia"/>
        </w:rPr>
        <w:t xml:space="preserve"> 1.</w:t>
      </w:r>
      <w:r>
        <w:rPr>
          <w:rFonts w:ascii="宋体" w:hAnsi="宋体" w:cs="仿宋" w:hint="eastAsia"/>
        </w:rPr>
        <w:t>消极非金融机构（如勾选此项，请同时填写控制人税收居民身份声明文件）</w:t>
      </w:r>
    </w:p>
    <w:p w:rsidR="00066166" w:rsidRDefault="00F62BD0">
      <w:pPr>
        <w:spacing w:line="480" w:lineRule="auto"/>
        <w:ind w:leftChars="100" w:left="210"/>
        <w:rPr>
          <w:rFonts w:ascii="宋体" w:hAnsi="宋体"/>
        </w:rPr>
      </w:pPr>
      <w:r>
        <w:rPr>
          <w:rFonts w:ascii="宋体" w:hAnsi="宋体" w:cs="仿宋" w:hint="eastAsia"/>
        </w:rPr>
        <w:t>□</w:t>
      </w:r>
      <w:r>
        <w:rPr>
          <w:rFonts w:ascii="宋体" w:hAnsi="宋体" w:cs="仿宋" w:hint="eastAsia"/>
        </w:rPr>
        <w:t xml:space="preserve"> 2.</w:t>
      </w:r>
      <w:r>
        <w:rPr>
          <w:rFonts w:ascii="宋体" w:hAnsi="宋体" w:cs="仿宋" w:hint="eastAsia"/>
        </w:rPr>
        <w:t>其他非金融机构</w:t>
      </w:r>
    </w:p>
    <w:p w:rsidR="00066166" w:rsidRDefault="00F62BD0">
      <w:pPr>
        <w:spacing w:line="480" w:lineRule="auto"/>
        <w:rPr>
          <w:rFonts w:ascii="宋体" w:hAnsi="宋体" w:cs="仿宋"/>
          <w:b/>
        </w:rPr>
      </w:pPr>
      <w:r>
        <w:rPr>
          <w:rFonts w:ascii="宋体" w:hAnsi="宋体" w:cs="仿宋" w:hint="eastAsia"/>
          <w:b/>
        </w:rPr>
        <w:t>二、机构税收居民身份：</w:t>
      </w:r>
    </w:p>
    <w:p w:rsidR="00066166" w:rsidRDefault="00F62BD0">
      <w:pPr>
        <w:spacing w:line="480" w:lineRule="auto"/>
        <w:ind w:leftChars="100" w:left="210"/>
        <w:rPr>
          <w:rFonts w:ascii="宋体" w:hAnsi="宋体" w:cs="仿宋"/>
        </w:rPr>
      </w:pPr>
      <w:r>
        <w:rPr>
          <w:rFonts w:ascii="宋体" w:hAnsi="宋体" w:cs="仿宋" w:hint="eastAsia"/>
        </w:rPr>
        <w:t>□</w:t>
      </w:r>
      <w:r>
        <w:rPr>
          <w:rFonts w:ascii="宋体" w:hAnsi="宋体" w:cs="仿宋" w:hint="eastAsia"/>
        </w:rPr>
        <w:t xml:space="preserve"> </w:t>
      </w:r>
      <w:r>
        <w:rPr>
          <w:rFonts w:ascii="宋体" w:hAnsi="宋体" w:cs="仿宋" w:hint="eastAsia"/>
        </w:rPr>
        <w:t>1.</w:t>
      </w:r>
      <w:r>
        <w:rPr>
          <w:rFonts w:ascii="宋体" w:hAnsi="宋体" w:cs="仿宋" w:hint="eastAsia"/>
        </w:rPr>
        <w:t>仅为中国税收居民（如勾选此项，请直接填写第五项内容）</w:t>
      </w:r>
    </w:p>
    <w:p w:rsidR="00066166" w:rsidRDefault="00F62BD0">
      <w:pPr>
        <w:spacing w:line="480" w:lineRule="auto"/>
        <w:ind w:leftChars="100" w:left="210"/>
        <w:rPr>
          <w:rFonts w:ascii="宋体" w:hAnsi="宋体" w:cs="仿宋"/>
        </w:rPr>
      </w:pPr>
      <w:r>
        <w:rPr>
          <w:rFonts w:ascii="宋体" w:hAnsi="宋体" w:cs="仿宋" w:hint="eastAsia"/>
        </w:rPr>
        <w:t>□</w:t>
      </w:r>
      <w:r>
        <w:rPr>
          <w:rFonts w:ascii="宋体" w:hAnsi="宋体" w:cs="仿宋" w:hint="eastAsia"/>
        </w:rPr>
        <w:t xml:space="preserve"> 2.</w:t>
      </w:r>
      <w:r>
        <w:rPr>
          <w:rFonts w:ascii="宋体" w:hAnsi="宋体" w:cs="仿宋" w:hint="eastAsia"/>
        </w:rPr>
        <w:t>仅为非居民</w:t>
      </w:r>
      <w:r>
        <w:rPr>
          <w:rFonts w:ascii="宋体" w:hAnsi="宋体" w:cs="仿宋" w:hint="eastAsia"/>
        </w:rPr>
        <w:t xml:space="preserve">  </w:t>
      </w:r>
    </w:p>
    <w:p w:rsidR="00066166" w:rsidRDefault="00F62BD0">
      <w:pPr>
        <w:spacing w:line="480" w:lineRule="auto"/>
        <w:ind w:leftChars="100" w:left="210"/>
        <w:rPr>
          <w:rFonts w:ascii="宋体" w:hAnsi="宋体"/>
        </w:rPr>
      </w:pPr>
      <w:r>
        <w:rPr>
          <w:rFonts w:ascii="宋体" w:hAnsi="宋体" w:cs="仿宋" w:hint="eastAsia"/>
        </w:rPr>
        <w:t>□</w:t>
      </w:r>
      <w:r>
        <w:rPr>
          <w:rFonts w:ascii="宋体" w:hAnsi="宋体" w:cs="仿宋" w:hint="eastAsia"/>
        </w:rPr>
        <w:t xml:space="preserve"> 3.</w:t>
      </w:r>
      <w:r>
        <w:rPr>
          <w:rFonts w:ascii="宋体" w:hAnsi="宋体" w:cs="仿宋" w:hint="eastAsia"/>
        </w:rPr>
        <w:t>既是中国税收居民又是其他国家（地区）税收居民</w:t>
      </w:r>
    </w:p>
    <w:p w:rsidR="00066166" w:rsidRDefault="00F62BD0">
      <w:pPr>
        <w:spacing w:line="480" w:lineRule="auto"/>
        <w:rPr>
          <w:rFonts w:ascii="宋体" w:hAnsi="宋体" w:cs="仿宋"/>
          <w:b/>
        </w:rPr>
      </w:pPr>
      <w:r>
        <w:rPr>
          <w:rFonts w:ascii="宋体" w:hAnsi="宋体" w:cs="仿宋" w:hint="eastAsia"/>
          <w:b/>
        </w:rPr>
        <w:t>三、机构基本信息</w:t>
      </w:r>
    </w:p>
    <w:p w:rsidR="00066166" w:rsidRDefault="00F62BD0">
      <w:pPr>
        <w:spacing w:line="480" w:lineRule="auto"/>
        <w:ind w:leftChars="100" w:left="210"/>
        <w:rPr>
          <w:rFonts w:ascii="宋体" w:hAnsi="宋体" w:cs="仿宋"/>
        </w:rPr>
      </w:pPr>
      <w:r>
        <w:rPr>
          <w:rFonts w:ascii="宋体" w:hAnsi="宋体" w:cs="仿宋" w:hint="eastAsia"/>
        </w:rPr>
        <w:t>1.</w:t>
      </w:r>
      <w:r>
        <w:rPr>
          <w:rFonts w:ascii="宋体" w:hAnsi="宋体" w:cs="仿宋" w:hint="eastAsia"/>
        </w:rPr>
        <w:t>机构名称（英文）：</w:t>
      </w:r>
    </w:p>
    <w:p w:rsidR="00066166" w:rsidRDefault="00F62BD0">
      <w:pPr>
        <w:spacing w:line="480" w:lineRule="auto"/>
        <w:ind w:leftChars="100" w:left="210"/>
        <w:rPr>
          <w:rFonts w:ascii="宋体" w:hAnsi="宋体" w:cs="仿宋"/>
          <w:u w:val="single"/>
        </w:rPr>
      </w:pPr>
      <w:r>
        <w:rPr>
          <w:rFonts w:ascii="宋体" w:hAnsi="宋体" w:cs="仿宋" w:hint="eastAsia"/>
        </w:rPr>
        <w:t>2.</w:t>
      </w:r>
      <w:r>
        <w:rPr>
          <w:rFonts w:ascii="宋体" w:hAnsi="宋体" w:cs="仿宋" w:hint="eastAsia"/>
        </w:rPr>
        <w:t>机构地址（英文或拼音）：</w:t>
      </w:r>
      <w:r>
        <w:rPr>
          <w:rFonts w:ascii="宋体" w:hAnsi="宋体" w:cs="仿宋" w:hint="eastAsia"/>
          <w:u w:val="single"/>
        </w:rPr>
        <w:t xml:space="preserve">       </w:t>
      </w:r>
      <w:r>
        <w:rPr>
          <w:rFonts w:ascii="宋体" w:hAnsi="宋体" w:cs="仿宋" w:hint="eastAsia"/>
          <w:u w:val="single"/>
        </w:rPr>
        <w:t>（国家）</w:t>
      </w:r>
      <w:r>
        <w:rPr>
          <w:rFonts w:ascii="宋体" w:hAnsi="宋体" w:cs="仿宋" w:hint="eastAsia"/>
          <w:u w:val="single"/>
        </w:rPr>
        <w:t xml:space="preserve">    </w:t>
      </w:r>
      <w:r>
        <w:rPr>
          <w:rFonts w:ascii="宋体" w:hAnsi="宋体" w:cs="仿宋" w:hint="eastAsia"/>
          <w:u w:val="single"/>
        </w:rPr>
        <w:t>（省）</w:t>
      </w:r>
      <w:r>
        <w:rPr>
          <w:rFonts w:ascii="宋体" w:hAnsi="宋体" w:cs="仿宋" w:hint="eastAsia"/>
          <w:u w:val="single"/>
        </w:rPr>
        <w:t xml:space="preserve">     </w:t>
      </w:r>
      <w:r>
        <w:rPr>
          <w:rFonts w:ascii="宋体" w:hAnsi="宋体" w:cs="仿宋" w:hint="eastAsia"/>
          <w:u w:val="single"/>
        </w:rPr>
        <w:t>（市）</w:t>
      </w:r>
      <w:r>
        <w:rPr>
          <w:rFonts w:ascii="宋体" w:hAnsi="宋体" w:cs="仿宋" w:hint="eastAsia"/>
          <w:u w:val="single"/>
        </w:rPr>
        <w:t xml:space="preserve">           </w:t>
      </w:r>
    </w:p>
    <w:p w:rsidR="00066166" w:rsidRDefault="00F62BD0">
      <w:pPr>
        <w:spacing w:line="480" w:lineRule="auto"/>
        <w:ind w:leftChars="100" w:left="210"/>
        <w:rPr>
          <w:rFonts w:ascii="宋体" w:hAnsi="宋体" w:cs="仿宋"/>
          <w:u w:val="single"/>
        </w:rPr>
      </w:pPr>
      <w:r>
        <w:rPr>
          <w:rFonts w:ascii="宋体" w:hAnsi="宋体" w:cs="仿宋" w:hint="eastAsia"/>
        </w:rPr>
        <w:t>3.</w:t>
      </w:r>
      <w:r>
        <w:rPr>
          <w:rFonts w:ascii="宋体" w:hAnsi="宋体" w:cs="仿宋" w:hint="eastAsia"/>
        </w:rPr>
        <w:t>机构地址（中文）：</w:t>
      </w:r>
      <w:r>
        <w:rPr>
          <w:rFonts w:ascii="宋体" w:hAnsi="宋体" w:cs="仿宋" w:hint="eastAsia"/>
          <w:u w:val="single"/>
        </w:rPr>
        <w:t xml:space="preserve">     </w:t>
      </w:r>
      <w:r>
        <w:rPr>
          <w:rFonts w:ascii="宋体" w:hAnsi="宋体" w:cs="仿宋" w:hint="eastAsia"/>
          <w:u w:val="single"/>
        </w:rPr>
        <w:t>（国家）</w:t>
      </w:r>
      <w:r>
        <w:rPr>
          <w:rFonts w:ascii="宋体" w:hAnsi="宋体" w:cs="仿宋" w:hint="eastAsia"/>
          <w:u w:val="single"/>
        </w:rPr>
        <w:t xml:space="preserve">    </w:t>
      </w:r>
      <w:r>
        <w:rPr>
          <w:rFonts w:ascii="宋体" w:hAnsi="宋体" w:cs="仿宋" w:hint="eastAsia"/>
          <w:u w:val="single"/>
        </w:rPr>
        <w:t>（省）</w:t>
      </w:r>
      <w:r>
        <w:rPr>
          <w:rFonts w:ascii="宋体" w:hAnsi="宋体" w:cs="仿宋" w:hint="eastAsia"/>
          <w:u w:val="single"/>
        </w:rPr>
        <w:t xml:space="preserve">     </w:t>
      </w:r>
      <w:r>
        <w:rPr>
          <w:rFonts w:ascii="宋体" w:hAnsi="宋体" w:cs="仿宋" w:hint="eastAsia"/>
          <w:u w:val="single"/>
        </w:rPr>
        <w:t>（市）</w:t>
      </w:r>
      <w:r>
        <w:rPr>
          <w:rFonts w:ascii="宋体" w:hAnsi="宋体" w:cs="仿宋" w:hint="eastAsia"/>
          <w:u w:val="single"/>
        </w:rPr>
        <w:t xml:space="preserve">       </w:t>
      </w:r>
      <w:r>
        <w:rPr>
          <w:rFonts w:ascii="宋体" w:hAnsi="宋体" w:cs="仿宋" w:hint="eastAsia"/>
        </w:rPr>
        <w:t>（境外地址可不填此项）</w:t>
      </w:r>
    </w:p>
    <w:p w:rsidR="00066166" w:rsidRDefault="00F62BD0">
      <w:pPr>
        <w:spacing w:line="480" w:lineRule="auto"/>
        <w:rPr>
          <w:rFonts w:ascii="宋体" w:hAnsi="宋体"/>
          <w:b/>
        </w:rPr>
      </w:pPr>
      <w:r>
        <w:rPr>
          <w:rFonts w:ascii="宋体" w:hAnsi="宋体" w:cs="仿宋" w:hint="eastAsia"/>
          <w:b/>
        </w:rPr>
        <w:t>四、税收居民国（地区）及纳税人识别号：</w:t>
      </w:r>
    </w:p>
    <w:p w:rsidR="00066166" w:rsidRDefault="00F62BD0">
      <w:pPr>
        <w:spacing w:line="480" w:lineRule="auto"/>
        <w:ind w:leftChars="100" w:left="210"/>
        <w:rPr>
          <w:rFonts w:ascii="宋体" w:hAnsi="宋体" w:cs="仿宋"/>
        </w:rPr>
      </w:pPr>
      <w:r>
        <w:rPr>
          <w:rFonts w:ascii="宋体" w:hAnsi="宋体" w:cs="仿宋" w:hint="eastAsia"/>
          <w:u w:val="single"/>
        </w:rPr>
        <w:t xml:space="preserve">1.                                    </w:t>
      </w:r>
    </w:p>
    <w:p w:rsidR="00066166" w:rsidRDefault="00F62BD0">
      <w:pPr>
        <w:spacing w:line="480" w:lineRule="auto"/>
        <w:ind w:leftChars="100" w:left="210"/>
        <w:rPr>
          <w:rFonts w:ascii="宋体" w:hAnsi="宋体" w:cs="仿宋"/>
          <w:u w:val="single"/>
        </w:rPr>
      </w:pPr>
      <w:r>
        <w:rPr>
          <w:rFonts w:ascii="宋体" w:hAnsi="宋体" w:cs="仿宋" w:hint="eastAsia"/>
          <w:u w:val="single"/>
        </w:rPr>
        <w:t>2.</w:t>
      </w:r>
      <w:r>
        <w:rPr>
          <w:rFonts w:ascii="宋体" w:hAnsi="宋体" w:cs="仿宋" w:hint="eastAsia"/>
          <w:u w:val="single"/>
        </w:rPr>
        <w:t>（如有）</w:t>
      </w:r>
      <w:r>
        <w:rPr>
          <w:rFonts w:ascii="宋体" w:hAnsi="宋体" w:cs="仿宋" w:hint="eastAsia"/>
          <w:u w:val="single"/>
        </w:rPr>
        <w:t xml:space="preserve">                            </w:t>
      </w:r>
    </w:p>
    <w:p w:rsidR="00066166" w:rsidRDefault="00F62BD0">
      <w:pPr>
        <w:spacing w:line="480" w:lineRule="auto"/>
        <w:ind w:leftChars="100" w:left="210"/>
        <w:rPr>
          <w:rFonts w:ascii="宋体" w:hAnsi="宋体" w:cs="仿宋"/>
          <w:u w:val="single"/>
        </w:rPr>
      </w:pPr>
      <w:r>
        <w:rPr>
          <w:rFonts w:ascii="宋体" w:hAnsi="宋体" w:cs="仿宋" w:hint="eastAsia"/>
          <w:u w:val="single"/>
        </w:rPr>
        <w:t>3.</w:t>
      </w:r>
      <w:r>
        <w:rPr>
          <w:rFonts w:ascii="宋体" w:hAnsi="宋体" w:cs="仿宋" w:hint="eastAsia"/>
          <w:u w:val="single"/>
        </w:rPr>
        <w:t>（如有）</w:t>
      </w:r>
      <w:r>
        <w:rPr>
          <w:rFonts w:ascii="宋体" w:hAnsi="宋体" w:cs="仿宋" w:hint="eastAsia"/>
          <w:u w:val="single"/>
        </w:rPr>
        <w:t xml:space="preserve">                            </w:t>
      </w:r>
    </w:p>
    <w:p w:rsidR="00066166" w:rsidRDefault="00F62BD0">
      <w:pPr>
        <w:spacing w:line="480" w:lineRule="auto"/>
        <w:rPr>
          <w:rFonts w:ascii="宋体" w:hAnsi="宋体"/>
        </w:rPr>
      </w:pPr>
      <w:r>
        <w:rPr>
          <w:rFonts w:ascii="宋体" w:hAnsi="宋体" w:cs="仿宋" w:hint="eastAsia"/>
        </w:rPr>
        <w:t>如果不能提供居民国（地区）纳税人识别号，请选择原因：</w:t>
      </w:r>
    </w:p>
    <w:p w:rsidR="00066166" w:rsidRDefault="00F62BD0">
      <w:pPr>
        <w:spacing w:line="480" w:lineRule="auto"/>
        <w:ind w:leftChars="100" w:left="210"/>
        <w:rPr>
          <w:rFonts w:ascii="宋体" w:hAnsi="宋体"/>
        </w:rPr>
      </w:pPr>
      <w:r>
        <w:rPr>
          <w:rFonts w:ascii="宋体" w:hAnsi="宋体" w:cs="仿宋" w:hint="eastAsia"/>
        </w:rPr>
        <w:t>□</w:t>
      </w:r>
      <w:r>
        <w:rPr>
          <w:rFonts w:ascii="宋体" w:hAnsi="宋体" w:cs="仿宋" w:hint="eastAsia"/>
        </w:rPr>
        <w:t xml:space="preserve"> </w:t>
      </w:r>
      <w:r>
        <w:rPr>
          <w:rFonts w:ascii="宋体" w:hAnsi="宋体" w:cs="仿宋" w:hint="eastAsia"/>
        </w:rPr>
        <w:t>居民国（地区）不发放纳税人识别号</w:t>
      </w:r>
    </w:p>
    <w:p w:rsidR="00066166" w:rsidRDefault="00F62BD0">
      <w:pPr>
        <w:spacing w:line="480" w:lineRule="auto"/>
        <w:ind w:leftChars="100" w:left="210"/>
        <w:rPr>
          <w:rFonts w:ascii="宋体" w:hAnsi="宋体"/>
        </w:rPr>
      </w:pPr>
      <w:r>
        <w:rPr>
          <w:rFonts w:ascii="宋体" w:hAnsi="宋体" w:cs="仿宋" w:hint="eastAsia"/>
        </w:rPr>
        <w:t>□</w:t>
      </w:r>
      <w:r>
        <w:rPr>
          <w:rFonts w:ascii="宋体" w:hAnsi="宋体" w:cs="仿宋" w:hint="eastAsia"/>
        </w:rPr>
        <w:t xml:space="preserve"> </w:t>
      </w:r>
      <w:r>
        <w:rPr>
          <w:rFonts w:ascii="宋体" w:hAnsi="宋体" w:cs="仿宋" w:hint="eastAsia"/>
        </w:rPr>
        <w:t>账户持有人未能取得纳税人识别号，如选此项，请解释具体原因：</w:t>
      </w:r>
    </w:p>
    <w:p w:rsidR="00066166" w:rsidRDefault="00066166">
      <w:pPr>
        <w:spacing w:line="480" w:lineRule="auto"/>
        <w:rPr>
          <w:rFonts w:ascii="宋体" w:hAnsi="宋体" w:cs="仿宋"/>
          <w:u w:val="single"/>
        </w:rPr>
      </w:pPr>
    </w:p>
    <w:p w:rsidR="00066166" w:rsidRDefault="00F62BD0">
      <w:pPr>
        <w:spacing w:line="480" w:lineRule="auto"/>
        <w:rPr>
          <w:rFonts w:ascii="宋体" w:hAnsi="宋体"/>
          <w:b/>
        </w:rPr>
      </w:pPr>
      <w:r>
        <w:rPr>
          <w:rFonts w:ascii="宋体" w:hAnsi="宋体" w:cs="仿宋" w:hint="eastAsia"/>
          <w:b/>
        </w:rPr>
        <w:t>五、本人确认上述信息的真实、准确和完整，且当这些信息发生变更时，将在</w:t>
      </w:r>
      <w:r>
        <w:rPr>
          <w:rFonts w:ascii="宋体" w:hAnsi="宋体" w:cs="仿宋" w:hint="eastAsia"/>
          <w:b/>
        </w:rPr>
        <w:t>30</w:t>
      </w:r>
      <w:r>
        <w:rPr>
          <w:rFonts w:ascii="宋体" w:hAnsi="宋体" w:cs="仿宋" w:hint="eastAsia"/>
          <w:b/>
        </w:rPr>
        <w:t>日内通知贵机构，否则本人承担由此造成的不利后果。</w:t>
      </w:r>
    </w:p>
    <w:p w:rsidR="00066166" w:rsidRDefault="00066166">
      <w:pPr>
        <w:spacing w:line="480" w:lineRule="auto"/>
        <w:jc w:val="left"/>
        <w:rPr>
          <w:rFonts w:ascii="宋体" w:hAnsi="宋体" w:cs="仿宋"/>
        </w:rPr>
      </w:pPr>
    </w:p>
    <w:p w:rsidR="00066166" w:rsidRDefault="00F62BD0">
      <w:pPr>
        <w:spacing w:line="480" w:lineRule="auto"/>
        <w:jc w:val="left"/>
        <w:rPr>
          <w:rFonts w:ascii="宋体" w:hAnsi="宋体"/>
        </w:rPr>
      </w:pPr>
      <w:r>
        <w:rPr>
          <w:rFonts w:ascii="宋体" w:hAnsi="宋体" w:cs="仿宋" w:hint="eastAsia"/>
        </w:rPr>
        <w:t>签名：</w:t>
      </w:r>
      <w:r>
        <w:rPr>
          <w:rFonts w:ascii="宋体" w:hAnsi="宋体" w:cs="仿宋" w:hint="eastAsia"/>
        </w:rPr>
        <w:t xml:space="preserve">                                      </w:t>
      </w:r>
      <w:r>
        <w:rPr>
          <w:rFonts w:ascii="宋体" w:hAnsi="宋体" w:cs="仿宋" w:hint="eastAsia"/>
        </w:rPr>
        <w:t>日期：</w:t>
      </w:r>
    </w:p>
    <w:p w:rsidR="00066166" w:rsidRDefault="00F62BD0">
      <w:pPr>
        <w:widowControl/>
        <w:spacing w:line="480" w:lineRule="auto"/>
        <w:jc w:val="left"/>
        <w:rPr>
          <w:rFonts w:ascii="宋体" w:hAnsi="宋体" w:cs="仿宋"/>
          <w:kern w:val="0"/>
          <w:lang w:val="en-GB"/>
        </w:rPr>
      </w:pPr>
      <w:r>
        <w:rPr>
          <w:rFonts w:ascii="宋体" w:hAnsi="宋体" w:cs="仿宋" w:hint="eastAsia"/>
          <w:kern w:val="0"/>
          <w:lang w:val="en-GB"/>
        </w:rPr>
        <w:t>（签名人身份须为机构授权人）</w:t>
      </w:r>
    </w:p>
    <w:p w:rsidR="00066166" w:rsidRDefault="00066166">
      <w:pPr>
        <w:widowControl/>
        <w:spacing w:line="480" w:lineRule="auto"/>
        <w:jc w:val="left"/>
        <w:rPr>
          <w:rFonts w:ascii="宋体" w:hAnsi="宋体"/>
          <w:kern w:val="0"/>
          <w:lang w:val="en-GB"/>
        </w:rPr>
      </w:pP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以下为声明审查人员填写：</w:t>
      </w:r>
    </w:p>
    <w:p w:rsidR="00066166" w:rsidRDefault="00F62BD0">
      <w:pPr>
        <w:spacing w:line="480" w:lineRule="auto"/>
        <w:ind w:leftChars="200" w:left="420"/>
        <w:jc w:val="left"/>
        <w:rPr>
          <w:rFonts w:ascii="宋体" w:hAnsi="宋体" w:cs="仿宋"/>
          <w:kern w:val="0"/>
          <w:sz w:val="22"/>
          <w:lang w:val="en-GB"/>
        </w:rPr>
      </w:pPr>
      <w:r>
        <w:rPr>
          <w:rFonts w:ascii="宋体" w:hAnsi="宋体" w:cs="仿宋" w:hint="eastAsia"/>
          <w:kern w:val="0"/>
          <w:sz w:val="22"/>
          <w:lang w:val="en-GB"/>
        </w:rPr>
        <w:t>审核资料：</w:t>
      </w:r>
    </w:p>
    <w:p w:rsidR="00066166" w:rsidRDefault="00F62BD0">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□申请人填妥声明文件内容</w:t>
      </w:r>
    </w:p>
    <w:p w:rsidR="00066166" w:rsidRDefault="00F62BD0">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□合理性证明文件</w:t>
      </w: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经办人（审核）：</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负责人（复核）：</w:t>
      </w:r>
    </w:p>
    <w:p w:rsidR="00066166" w:rsidRDefault="00F62BD0">
      <w:pPr>
        <w:spacing w:line="480" w:lineRule="auto"/>
        <w:jc w:val="left"/>
        <w:rPr>
          <w:rFonts w:ascii="宋体" w:hAnsi="宋体" w:cs="仿宋"/>
          <w:kern w:val="0"/>
          <w:sz w:val="22"/>
          <w:lang w:val="en-GB"/>
        </w:rPr>
      </w:pPr>
      <w:r>
        <w:rPr>
          <w:rFonts w:ascii="宋体" w:hAnsi="宋体" w:cs="仿宋" w:hint="eastAsia"/>
          <w:kern w:val="0"/>
          <w:sz w:val="22"/>
          <w:lang w:val="en-GB"/>
        </w:rPr>
        <w:t>日期：</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日期：</w:t>
      </w:r>
    </w:p>
    <w:p w:rsidR="00066166" w:rsidRDefault="00F62BD0">
      <w:pPr>
        <w:spacing w:line="288" w:lineRule="auto"/>
        <w:jc w:val="left"/>
        <w:rPr>
          <w:rFonts w:ascii="仿宋" w:eastAsia="仿宋" w:hAnsi="仿宋"/>
          <w:b/>
          <w:i/>
          <w:kern w:val="0"/>
          <w:lang w:val="en-GB"/>
        </w:rPr>
      </w:pPr>
      <w:r>
        <w:rPr>
          <w:rFonts w:ascii="仿宋" w:eastAsia="仿宋" w:hAnsi="仿宋" w:cs="仿宋"/>
          <w:b/>
          <w:i/>
          <w:kern w:val="0"/>
          <w:lang w:val="en-GB"/>
        </w:rPr>
        <w:br w:type="page"/>
      </w:r>
      <w:r>
        <w:rPr>
          <w:rFonts w:ascii="仿宋" w:eastAsia="仿宋" w:hAnsi="仿宋" w:cs="仿宋" w:hint="eastAsia"/>
          <w:b/>
          <w:i/>
          <w:kern w:val="0"/>
          <w:lang w:val="en-GB"/>
        </w:rPr>
        <w:t>说明：</w:t>
      </w:r>
    </w:p>
    <w:p w:rsidR="00066166" w:rsidRDefault="00F62BD0">
      <w:pPr>
        <w:numPr>
          <w:ilvl w:val="0"/>
          <w:numId w:val="45"/>
        </w:numPr>
        <w:jc w:val="left"/>
        <w:rPr>
          <w:rFonts w:ascii="仿宋_GB2312" w:eastAsia="仿宋_GB2312" w:hAnsi="仿宋"/>
          <w:kern w:val="0"/>
          <w:lang w:val="en-GB"/>
        </w:rPr>
      </w:pPr>
      <w:r>
        <w:rPr>
          <w:rFonts w:ascii="仿宋_GB2312" w:eastAsia="仿宋_GB2312" w:hAnsi="仿宋" w:cs="仿宋" w:hint="eastAsia"/>
          <w:kern w:val="0"/>
          <w:lang w:val="en-GB"/>
        </w:rPr>
        <w:t>本表所称中国税收居民是指依法在中国境内成立，或者依照外国</w:t>
      </w:r>
      <w:r>
        <w:rPr>
          <w:rFonts w:ascii="仿宋_GB2312" w:eastAsia="仿宋_GB2312" w:hAnsi="仿宋" w:cs="仿宋" w:hint="eastAsia"/>
          <w:kern w:val="0"/>
          <w:lang w:val="en-GB"/>
        </w:rPr>
        <w:t>(</w:t>
      </w:r>
      <w:r>
        <w:rPr>
          <w:rFonts w:ascii="仿宋_GB2312" w:eastAsia="仿宋_GB2312" w:hAnsi="仿宋" w:cs="仿宋" w:hint="eastAsia"/>
          <w:kern w:val="0"/>
          <w:lang w:val="en-GB"/>
        </w:rPr>
        <w:t>地区</w:t>
      </w:r>
      <w:r>
        <w:rPr>
          <w:rFonts w:ascii="仿宋_GB2312" w:eastAsia="仿宋_GB2312" w:hAnsi="仿宋" w:cs="仿宋" w:hint="eastAsia"/>
          <w:kern w:val="0"/>
          <w:lang w:val="en-GB"/>
        </w:rPr>
        <w:t>)</w:t>
      </w:r>
      <w:r>
        <w:rPr>
          <w:rFonts w:ascii="仿宋_GB2312" w:eastAsia="仿宋_GB2312" w:hAnsi="仿宋" w:cs="仿宋" w:hint="eastAsia"/>
          <w:kern w:val="0"/>
          <w:lang w:val="en-GB"/>
        </w:rPr>
        <w:t>法律成立但实际管理机构在中国境内的企业和非法人组织。</w:t>
      </w:r>
    </w:p>
    <w:p w:rsidR="00066166" w:rsidRDefault="00F62BD0">
      <w:pPr>
        <w:numPr>
          <w:ilvl w:val="0"/>
          <w:numId w:val="45"/>
        </w:numPr>
        <w:jc w:val="left"/>
        <w:rPr>
          <w:rFonts w:ascii="仿宋_GB2312" w:eastAsia="仿宋_GB2312" w:hAnsi="仿宋"/>
          <w:kern w:val="0"/>
          <w:lang w:val="en-GB"/>
        </w:rPr>
      </w:pPr>
      <w:r>
        <w:rPr>
          <w:rFonts w:ascii="仿宋_GB2312" w:eastAsia="仿宋_GB2312" w:hAnsi="仿宋" w:cs="仿宋" w:hint="eastAsia"/>
          <w:kern w:val="0"/>
          <w:lang w:val="en-GB"/>
        </w:rPr>
        <w:t>本表所称非居民是指中国税收居民以外的企业（包括非法人组织），但不包括政府机构、国际组织、中央银行、金融机构或者在证券市场上市交易的公司及其关联机构。前述证券市场是指被所在地政府认可和监管的证券市场。其他国家（地区）税收居民身份认定规则及纳税人识别号相关信息请参见国家税务总局网站（</w:t>
      </w:r>
      <w:r>
        <w:rPr>
          <w:rFonts w:ascii="仿宋_GB2312" w:eastAsia="仿宋_GB2312" w:hAnsi="仿宋" w:cs="仿宋" w:hint="eastAsia"/>
          <w:kern w:val="0"/>
          <w:lang w:val="en-GB"/>
        </w:rPr>
        <w:t>http://</w:t>
      </w:r>
      <w:hyperlink r:id="rId18"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w:t>
      </w:r>
      <w:r>
        <w:rPr>
          <w:rFonts w:ascii="仿宋_GB2312" w:eastAsia="仿宋_GB2312" w:hAnsi="仿宋" w:cs="仿宋" w:hint="eastAsia"/>
          <w:kern w:val="0"/>
          <w:lang w:val="en-GB"/>
        </w:rPr>
        <w:t>）。</w:t>
      </w:r>
    </w:p>
    <w:p w:rsidR="00066166" w:rsidRDefault="00F62BD0">
      <w:pPr>
        <w:numPr>
          <w:ilvl w:val="0"/>
          <w:numId w:val="45"/>
        </w:numPr>
        <w:jc w:val="left"/>
        <w:rPr>
          <w:rFonts w:ascii="仿宋_GB2312" w:eastAsia="仿宋_GB2312" w:hAnsi="仿宋"/>
          <w:kern w:val="0"/>
          <w:lang w:val="en-GB"/>
        </w:rPr>
      </w:pPr>
      <w:r>
        <w:rPr>
          <w:rFonts w:ascii="仿宋_GB2312" w:eastAsia="仿宋_GB2312" w:hAnsi="仿宋" w:cs="仿宋" w:hint="eastAsia"/>
          <w:kern w:val="0"/>
          <w:lang w:val="en-GB"/>
        </w:rPr>
        <w:t>金融机构包括存款机构、托管机构、投资机构、特定的保险机构</w:t>
      </w:r>
      <w:r>
        <w:rPr>
          <w:rFonts w:ascii="仿宋_GB2312" w:eastAsia="仿宋_GB2312" w:hAnsi="仿宋" w:cs="仿宋" w:hint="eastAsia"/>
          <w:kern w:val="0"/>
          <w:lang w:val="en-GB"/>
        </w:rPr>
        <w:t>及其分支机构。（</w:t>
      </w:r>
      <w:r>
        <w:rPr>
          <w:rFonts w:ascii="仿宋_GB2312" w:eastAsia="仿宋_GB2312" w:hAnsi="仿宋" w:cs="仿宋" w:hint="eastAsia"/>
          <w:kern w:val="0"/>
          <w:lang w:val="en-GB"/>
        </w:rPr>
        <w:t>1</w:t>
      </w:r>
      <w:r>
        <w:rPr>
          <w:rFonts w:ascii="仿宋_GB2312" w:eastAsia="仿宋_GB2312" w:hAnsi="仿宋" w:cs="仿宋" w:hint="eastAsia"/>
          <w:kern w:val="0"/>
          <w:lang w:val="en-GB"/>
        </w:rPr>
        <w:t>）存款机构指在日常经营活动中吸收存款的机构；（</w:t>
      </w:r>
      <w:r>
        <w:rPr>
          <w:rFonts w:ascii="仿宋_GB2312" w:eastAsia="仿宋_GB2312" w:hAnsi="仿宋" w:cs="仿宋" w:hint="eastAsia"/>
          <w:kern w:val="0"/>
          <w:lang w:val="en-GB"/>
        </w:rPr>
        <w:t>2</w:t>
      </w:r>
      <w:r>
        <w:rPr>
          <w:rFonts w:ascii="仿宋_GB2312" w:eastAsia="仿宋_GB2312" w:hAnsi="仿宋" w:cs="仿宋" w:hint="eastAsia"/>
          <w:kern w:val="0"/>
          <w:lang w:val="en-GB"/>
        </w:rPr>
        <w:t>）托管机构是指近三个会计年度总收入的</w:t>
      </w:r>
      <w:r>
        <w:rPr>
          <w:rFonts w:ascii="仿宋_GB2312" w:eastAsia="仿宋_GB2312" w:hAnsi="仿宋" w:cs="仿宋" w:hint="eastAsia"/>
          <w:kern w:val="0"/>
          <w:lang w:val="en-GB"/>
        </w:rPr>
        <w:t>20%</w:t>
      </w:r>
      <w:r>
        <w:rPr>
          <w:rFonts w:ascii="仿宋_GB2312" w:eastAsia="仿宋_GB2312" w:hAnsi="仿宋" w:cs="仿宋" w:hint="eastAsia"/>
          <w:kern w:val="0"/>
          <w:lang w:val="en-GB"/>
        </w:rPr>
        <w:t>以上来源于为客户持有金融资产的机构，机构成立不满三年的，按机构存续期间计算；（</w:t>
      </w:r>
      <w:r>
        <w:rPr>
          <w:rFonts w:ascii="仿宋_GB2312" w:eastAsia="仿宋_GB2312" w:hAnsi="仿宋" w:cs="仿宋" w:hint="eastAsia"/>
          <w:kern w:val="0"/>
          <w:lang w:val="en-GB"/>
        </w:rPr>
        <w:t>3</w:t>
      </w:r>
      <w:r>
        <w:rPr>
          <w:rFonts w:ascii="仿宋_GB2312" w:eastAsia="仿宋_GB2312" w:hAnsi="仿宋" w:cs="仿宋" w:hint="eastAsia"/>
          <w:kern w:val="0"/>
          <w:lang w:val="en-GB"/>
        </w:rPr>
        <w:t>）投资机构是指符合以下条件之一的机构：</w:t>
      </w:r>
      <w:r>
        <w:rPr>
          <w:rFonts w:ascii="仿宋_GB2312" w:eastAsia="仿宋_GB2312" w:hAnsi="仿宋" w:cs="仿宋" w:hint="eastAsia"/>
          <w:kern w:val="0"/>
          <w:lang w:val="en-GB"/>
        </w:rPr>
        <w:t>A.</w:t>
      </w:r>
      <w:r>
        <w:rPr>
          <w:rFonts w:ascii="仿宋_GB2312" w:eastAsia="仿宋_GB2312" w:hAnsi="仿宋" w:cs="仿宋" w:hint="eastAsia"/>
          <w:kern w:val="0"/>
          <w:lang w:val="en-GB"/>
        </w:rPr>
        <w:t>近三个会计年度总收入的</w:t>
      </w:r>
      <w:r>
        <w:rPr>
          <w:rFonts w:ascii="仿宋_GB2312" w:eastAsia="仿宋_GB2312" w:hAnsi="仿宋" w:cs="仿宋" w:hint="eastAsia"/>
          <w:kern w:val="0"/>
          <w:lang w:val="en-GB"/>
        </w:rPr>
        <w:t>50%</w:t>
      </w:r>
      <w:r>
        <w:rPr>
          <w:rFonts w:ascii="仿宋_GB2312" w:eastAsia="仿宋_GB2312" w:hAnsi="仿宋" w:cs="仿宋" w:hint="eastAsia"/>
          <w:kern w:val="0"/>
          <w:lang w:val="en-GB"/>
        </w:rPr>
        <w:t>以上收入来源于为客户投资、运作金融资产的机构，机构成立不满三年的，按机构存续期间计算；</w:t>
      </w:r>
      <w:r>
        <w:rPr>
          <w:rFonts w:ascii="仿宋_GB2312" w:eastAsia="仿宋_GB2312" w:hAnsi="仿宋" w:cs="仿宋" w:hint="eastAsia"/>
          <w:kern w:val="0"/>
          <w:lang w:val="en-GB"/>
        </w:rPr>
        <w:t>B.</w:t>
      </w:r>
      <w:r>
        <w:rPr>
          <w:rFonts w:ascii="仿宋_GB2312" w:eastAsia="仿宋_GB2312" w:hAnsi="仿宋" w:cs="仿宋" w:hint="eastAsia"/>
          <w:kern w:val="0"/>
          <w:lang w:val="en-GB"/>
        </w:rPr>
        <w:t>近三个会计年度总收入的</w:t>
      </w:r>
      <w:r>
        <w:rPr>
          <w:rFonts w:ascii="仿宋_GB2312" w:eastAsia="仿宋_GB2312" w:hAnsi="仿宋" w:cs="仿宋" w:hint="eastAsia"/>
          <w:kern w:val="0"/>
          <w:lang w:val="en-GB"/>
        </w:rPr>
        <w:t>50%</w:t>
      </w:r>
      <w:r>
        <w:rPr>
          <w:rFonts w:ascii="仿宋_GB2312" w:eastAsia="仿宋_GB2312" w:hAnsi="仿宋" w:cs="仿宋" w:hint="eastAsia"/>
          <w:kern w:val="0"/>
          <w:lang w:val="en-GB"/>
        </w:rPr>
        <w:t>以上收入来源于投资、再投资或者买卖金融资产，且由存款机构、托管机构、特定保险机构或者</w:t>
      </w:r>
      <w:r>
        <w:rPr>
          <w:rFonts w:ascii="仿宋_GB2312" w:eastAsia="仿宋_GB2312" w:hAnsi="仿宋" w:cs="仿宋" w:hint="eastAsia"/>
          <w:kern w:val="0"/>
          <w:lang w:val="en-GB"/>
        </w:rPr>
        <w:t>A</w:t>
      </w:r>
      <w:r>
        <w:rPr>
          <w:rFonts w:ascii="仿宋_GB2312" w:eastAsia="仿宋_GB2312" w:hAnsi="仿宋" w:cs="仿宋" w:hint="eastAsia"/>
          <w:kern w:val="0"/>
          <w:lang w:val="en-GB"/>
        </w:rPr>
        <w:t>项所述投资机构进行管理并作出投资决策的机构，机构成</w:t>
      </w:r>
      <w:r>
        <w:rPr>
          <w:rFonts w:ascii="仿宋_GB2312" w:eastAsia="仿宋_GB2312" w:hAnsi="仿宋" w:cs="仿宋" w:hint="eastAsia"/>
          <w:kern w:val="0"/>
          <w:lang w:val="en-GB"/>
        </w:rPr>
        <w:t>立不满三年的，按机构存续期间计算；</w:t>
      </w:r>
      <w:r>
        <w:rPr>
          <w:rFonts w:ascii="仿宋_GB2312" w:eastAsia="仿宋_GB2312" w:hAnsi="仿宋" w:cs="仿宋" w:hint="eastAsia"/>
          <w:kern w:val="0"/>
          <w:lang w:val="en-GB"/>
        </w:rPr>
        <w:t>C.</w:t>
      </w:r>
      <w:r>
        <w:rPr>
          <w:rFonts w:ascii="仿宋_GB2312" w:eastAsia="仿宋_GB2312" w:hAnsi="仿宋" w:cs="仿宋" w:hint="eastAsia"/>
          <w:kern w:val="0"/>
          <w:lang w:val="en-GB"/>
        </w:rPr>
        <w:t>证券投资基金、私募投资基金等以投资、再投资或者买卖金融资产为目的而设立的投资实体。（</w:t>
      </w:r>
      <w:r>
        <w:rPr>
          <w:rFonts w:ascii="仿宋_GB2312" w:eastAsia="仿宋_GB2312" w:hAnsi="仿宋" w:cs="仿宋" w:hint="eastAsia"/>
          <w:kern w:val="0"/>
          <w:lang w:val="en-GB"/>
        </w:rPr>
        <w:t>4</w:t>
      </w:r>
      <w:r>
        <w:rPr>
          <w:rFonts w:ascii="仿宋_GB2312" w:eastAsia="仿宋_GB2312" w:hAnsi="仿宋" w:cs="仿宋" w:hint="eastAsia"/>
          <w:kern w:val="0"/>
          <w:lang w:val="en-GB"/>
        </w:rPr>
        <w:t>）特定的保险机构指开展有现金价值的保险或者年金业务的机构。本办法所称保险机构是指上一公历年度内，保险、再保险和年金合同的收入占总收入比重</w:t>
      </w:r>
      <w:r>
        <w:rPr>
          <w:rFonts w:ascii="仿宋_GB2312" w:eastAsia="仿宋_GB2312" w:hAnsi="仿宋" w:cs="仿宋" w:hint="eastAsia"/>
          <w:kern w:val="0"/>
          <w:lang w:val="en-GB"/>
        </w:rPr>
        <w:t>50%</w:t>
      </w:r>
      <w:r>
        <w:rPr>
          <w:rFonts w:ascii="仿宋_GB2312" w:eastAsia="仿宋_GB2312" w:hAnsi="仿宋" w:cs="仿宋" w:hint="eastAsia"/>
          <w:kern w:val="0"/>
          <w:lang w:val="en-GB"/>
        </w:rPr>
        <w:t>以上的机构，或者在上一公历年度末拥有的保险、再保险和年金合同的资产占总资产比重</w:t>
      </w:r>
      <w:r>
        <w:rPr>
          <w:rFonts w:ascii="仿宋_GB2312" w:eastAsia="仿宋_GB2312" w:hAnsi="仿宋" w:cs="仿宋" w:hint="eastAsia"/>
          <w:kern w:val="0"/>
          <w:lang w:val="en-GB"/>
        </w:rPr>
        <w:t>50%</w:t>
      </w:r>
      <w:r>
        <w:rPr>
          <w:rFonts w:ascii="仿宋_GB2312" w:eastAsia="仿宋_GB2312" w:hAnsi="仿宋" w:cs="仿宋" w:hint="eastAsia"/>
          <w:kern w:val="0"/>
          <w:lang w:val="en-GB"/>
        </w:rPr>
        <w:t>以上的机构。</w:t>
      </w:r>
    </w:p>
    <w:p w:rsidR="00066166" w:rsidRDefault="00F62BD0">
      <w:pPr>
        <w:numPr>
          <w:ilvl w:val="0"/>
          <w:numId w:val="45"/>
        </w:numPr>
        <w:jc w:val="left"/>
        <w:rPr>
          <w:rFonts w:ascii="仿宋_GB2312" w:eastAsia="仿宋_GB2312"/>
          <w:u w:val="single"/>
        </w:rPr>
      </w:pPr>
      <w:r>
        <w:rPr>
          <w:rFonts w:ascii="仿宋_GB2312" w:eastAsia="仿宋_GB2312" w:hAnsi="仿宋" w:cs="仿宋" w:hint="eastAsia"/>
          <w:kern w:val="0"/>
          <w:lang w:val="en-GB"/>
        </w:rPr>
        <w:t xml:space="preserve"> </w:t>
      </w:r>
      <w:r>
        <w:rPr>
          <w:rFonts w:ascii="仿宋_GB2312" w:eastAsia="仿宋_GB2312" w:hAnsi="仿宋" w:cs="仿宋" w:hint="eastAsia"/>
          <w:kern w:val="0"/>
          <w:lang w:val="en-GB"/>
        </w:rPr>
        <w:t>实施金融账户涉税信息自动交换标准的国家（地区）名单请参见国家税务总局网站（</w:t>
      </w:r>
      <w:r>
        <w:rPr>
          <w:rFonts w:ascii="仿宋_GB2312" w:eastAsia="仿宋_GB2312" w:hAnsi="仿宋" w:cs="仿宋" w:hint="eastAsia"/>
          <w:kern w:val="0"/>
          <w:lang w:val="en-GB"/>
        </w:rPr>
        <w:t>http://</w:t>
      </w:r>
      <w:hyperlink r:id="rId19"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w:t>
      </w:r>
      <w:r>
        <w:rPr>
          <w:rFonts w:ascii="仿宋_GB2312" w:eastAsia="仿宋_GB2312" w:hAnsi="仿宋" w:cs="仿宋" w:hint="eastAsia"/>
          <w:kern w:val="0"/>
          <w:lang w:val="en-GB"/>
        </w:rPr>
        <w:t>）。金融机构税收居民国（地区）的判断主要看其受哪个国家（地区）的管辖。在信托构成金融机构的情况下，主要由受托人的税收居民身份决定该金融机构的税收居民国（地区）。在金融机构（信托除外）不具有税收居民身份的情况下，可将其视为成立地、实际管理地或受管辖地的税收居民。公司、合伙企业、信托、基金均可以构成消极非金融机构。</w:t>
      </w:r>
    </w:p>
    <w:p w:rsidR="00066166" w:rsidRDefault="00F62BD0">
      <w:pPr>
        <w:numPr>
          <w:ilvl w:val="0"/>
          <w:numId w:val="45"/>
        </w:numPr>
        <w:jc w:val="left"/>
        <w:rPr>
          <w:rFonts w:ascii="仿宋_GB2312" w:eastAsia="仿宋_GB2312" w:hAnsi="仿宋"/>
          <w:kern w:val="0"/>
          <w:lang w:val="en-GB"/>
        </w:rPr>
      </w:pPr>
      <w:r>
        <w:rPr>
          <w:rFonts w:ascii="仿宋_GB2312" w:eastAsia="仿宋_GB2312" w:hAnsi="仿宋" w:cs="仿宋" w:hint="eastAsia"/>
          <w:kern w:val="0"/>
          <w:lang w:val="en-GB"/>
        </w:rPr>
        <w:t>控制人是指对某一机构实施控制的个人。</w:t>
      </w:r>
    </w:p>
    <w:p w:rsidR="00066166" w:rsidRDefault="00F62BD0">
      <w:pPr>
        <w:ind w:left="360"/>
        <w:jc w:val="left"/>
        <w:rPr>
          <w:rFonts w:ascii="仿宋_GB2312" w:eastAsia="仿宋_GB2312" w:hAnsi="仿宋"/>
          <w:kern w:val="0"/>
          <w:lang w:val="en-GB"/>
        </w:rPr>
      </w:pPr>
      <w:r>
        <w:rPr>
          <w:rFonts w:ascii="仿宋_GB2312" w:eastAsia="仿宋_GB2312" w:hAnsi="仿宋" w:cs="仿宋" w:hint="eastAsia"/>
          <w:kern w:val="0"/>
          <w:lang w:val="en-GB"/>
        </w:rPr>
        <w:t>公司的控制人按照以下规则依次判定：</w:t>
      </w:r>
    </w:p>
    <w:p w:rsidR="00066166" w:rsidRDefault="00F62BD0">
      <w:pPr>
        <w:ind w:left="360"/>
        <w:jc w:val="left"/>
        <w:rPr>
          <w:rFonts w:ascii="仿宋_GB2312" w:eastAsia="仿宋_GB2312" w:hAnsi="仿宋"/>
          <w:kern w:val="0"/>
          <w:lang w:val="en-GB"/>
        </w:rPr>
      </w:pPr>
      <w:r>
        <w:rPr>
          <w:rFonts w:ascii="仿宋_GB2312" w:eastAsia="仿宋_GB2312" w:hAnsi="仿宋" w:cs="仿宋" w:hint="eastAsia"/>
          <w:kern w:val="0"/>
          <w:lang w:val="en-GB"/>
        </w:rPr>
        <w:t>（</w:t>
      </w:r>
      <w:r>
        <w:rPr>
          <w:rFonts w:ascii="仿宋_GB2312" w:eastAsia="仿宋_GB2312" w:hAnsi="仿宋" w:cs="仿宋" w:hint="eastAsia"/>
          <w:kern w:val="0"/>
          <w:lang w:val="en-GB"/>
        </w:rPr>
        <w:t>1</w:t>
      </w:r>
      <w:r>
        <w:rPr>
          <w:rFonts w:ascii="仿宋_GB2312" w:eastAsia="仿宋_GB2312" w:hAnsi="仿宋" w:cs="仿宋" w:hint="eastAsia"/>
          <w:kern w:val="0"/>
          <w:lang w:val="en-GB"/>
        </w:rPr>
        <w:t>）直接或者间接拥有超过</w:t>
      </w:r>
      <w:r>
        <w:rPr>
          <w:rFonts w:ascii="仿宋_GB2312" w:eastAsia="仿宋_GB2312" w:hAnsi="仿宋" w:cs="仿宋" w:hint="eastAsia"/>
          <w:kern w:val="0"/>
          <w:lang w:val="en-GB"/>
        </w:rPr>
        <w:t>25%</w:t>
      </w:r>
      <w:r>
        <w:rPr>
          <w:rFonts w:ascii="仿宋_GB2312" w:eastAsia="仿宋_GB2312" w:hAnsi="仿宋" w:cs="仿宋" w:hint="eastAsia"/>
          <w:kern w:val="0"/>
          <w:lang w:val="en-GB"/>
        </w:rPr>
        <w:t>公司股权或者表决权的个人；</w:t>
      </w:r>
    </w:p>
    <w:p w:rsidR="00066166" w:rsidRDefault="00F62BD0">
      <w:pPr>
        <w:ind w:left="360"/>
        <w:jc w:val="left"/>
        <w:rPr>
          <w:rFonts w:ascii="仿宋_GB2312" w:eastAsia="仿宋_GB2312" w:hAnsi="仿宋"/>
          <w:kern w:val="0"/>
          <w:lang w:val="en-GB"/>
        </w:rPr>
      </w:pPr>
      <w:r>
        <w:rPr>
          <w:rFonts w:ascii="仿宋_GB2312" w:eastAsia="仿宋_GB2312" w:hAnsi="仿宋" w:cs="仿宋" w:hint="eastAsia"/>
          <w:kern w:val="0"/>
          <w:lang w:val="en-GB"/>
        </w:rPr>
        <w:t>（</w:t>
      </w:r>
      <w:r>
        <w:rPr>
          <w:rFonts w:ascii="仿宋_GB2312" w:eastAsia="仿宋_GB2312" w:hAnsi="仿宋" w:cs="仿宋" w:hint="eastAsia"/>
          <w:kern w:val="0"/>
          <w:lang w:val="en-GB"/>
        </w:rPr>
        <w:t>2</w:t>
      </w:r>
      <w:r>
        <w:rPr>
          <w:rFonts w:ascii="仿宋_GB2312" w:eastAsia="仿宋_GB2312" w:hAnsi="仿宋" w:cs="仿宋" w:hint="eastAsia"/>
          <w:kern w:val="0"/>
          <w:lang w:val="en-GB"/>
        </w:rPr>
        <w:t>）通过人事、财务等其他方式对公司进行控制的个人；</w:t>
      </w:r>
    </w:p>
    <w:p w:rsidR="00066166" w:rsidRDefault="00F62BD0">
      <w:pPr>
        <w:ind w:left="360"/>
        <w:jc w:val="left"/>
        <w:rPr>
          <w:rFonts w:ascii="仿宋_GB2312" w:eastAsia="仿宋_GB2312" w:hAnsi="仿宋"/>
          <w:kern w:val="0"/>
          <w:lang w:val="en-GB"/>
        </w:rPr>
      </w:pPr>
      <w:r>
        <w:rPr>
          <w:rFonts w:ascii="仿宋_GB2312" w:eastAsia="仿宋_GB2312" w:hAnsi="仿宋" w:cs="仿宋" w:hint="eastAsia"/>
          <w:kern w:val="0"/>
          <w:lang w:val="en-GB"/>
        </w:rPr>
        <w:t>（</w:t>
      </w:r>
      <w:r>
        <w:rPr>
          <w:rFonts w:ascii="仿宋_GB2312" w:eastAsia="仿宋_GB2312" w:hAnsi="仿宋" w:cs="仿宋" w:hint="eastAsia"/>
          <w:kern w:val="0"/>
          <w:lang w:val="en-GB"/>
        </w:rPr>
        <w:t>3</w:t>
      </w:r>
      <w:r>
        <w:rPr>
          <w:rFonts w:ascii="仿宋_GB2312" w:eastAsia="仿宋_GB2312" w:hAnsi="仿宋" w:cs="仿宋" w:hint="eastAsia"/>
          <w:kern w:val="0"/>
          <w:lang w:val="en-GB"/>
        </w:rPr>
        <w:t>）公司的高级管理人员。</w:t>
      </w:r>
    </w:p>
    <w:p w:rsidR="00066166" w:rsidRDefault="00F62BD0">
      <w:pPr>
        <w:jc w:val="left"/>
        <w:rPr>
          <w:rFonts w:ascii="仿宋_GB2312" w:eastAsia="仿宋_GB2312" w:hAnsi="仿宋" w:cs="仿宋"/>
          <w:kern w:val="0"/>
        </w:rPr>
      </w:pPr>
      <w:r>
        <w:rPr>
          <w:rFonts w:ascii="仿宋_GB2312" w:eastAsia="仿宋_GB2312" w:hAnsi="仿宋" w:cs="仿宋" w:hint="eastAsia"/>
          <w:kern w:val="0"/>
          <w:lang w:val="en-GB"/>
        </w:rPr>
        <w:t>合伙企业的控制人是拥有超过</w:t>
      </w:r>
      <w:r>
        <w:rPr>
          <w:rFonts w:ascii="仿宋_GB2312" w:eastAsia="仿宋_GB2312" w:hAnsi="仿宋" w:cs="仿宋" w:hint="eastAsia"/>
          <w:kern w:val="0"/>
          <w:lang w:val="en-GB"/>
        </w:rPr>
        <w:t>25%</w:t>
      </w:r>
      <w:r>
        <w:rPr>
          <w:rFonts w:ascii="仿宋_GB2312" w:eastAsia="仿宋_GB2312" w:hAnsi="仿宋" w:cs="仿宋" w:hint="eastAsia"/>
          <w:kern w:val="0"/>
          <w:lang w:val="en-GB"/>
        </w:rPr>
        <w:t>合伙权益的个人；信托的控制人是指信托的委托人、</w:t>
      </w:r>
    </w:p>
    <w:p w:rsidR="00066166" w:rsidRDefault="00F62BD0">
      <w:pPr>
        <w:jc w:val="left"/>
        <w:rPr>
          <w:rFonts w:ascii="仿宋_GB2312" w:eastAsia="仿宋_GB2312" w:hAnsi="仿宋" w:cs="仿宋"/>
          <w:kern w:val="0"/>
          <w:lang w:val="en-GB"/>
        </w:rPr>
      </w:pPr>
      <w:r>
        <w:rPr>
          <w:rFonts w:ascii="仿宋_GB2312" w:eastAsia="仿宋_GB2312" w:hAnsi="仿宋" w:cs="仿宋" w:hint="eastAsia"/>
          <w:kern w:val="0"/>
          <w:lang w:val="en-GB"/>
        </w:rPr>
        <w:t>受托人、受益人以及其他对信托实施最终有效控制的个人；基金的控制人是指拥有超过</w:t>
      </w:r>
    </w:p>
    <w:p w:rsidR="00066166" w:rsidRDefault="00F62BD0">
      <w:pPr>
        <w:jc w:val="left"/>
        <w:rPr>
          <w:rFonts w:ascii="仿宋_GB2312" w:eastAsia="仿宋_GB2312" w:hAnsi="仿宋" w:cs="仿宋"/>
          <w:kern w:val="0"/>
          <w:lang w:val="en-GB"/>
        </w:rPr>
      </w:pPr>
      <w:r>
        <w:rPr>
          <w:rFonts w:ascii="仿宋_GB2312" w:eastAsia="仿宋_GB2312" w:hAnsi="仿宋" w:cs="仿宋" w:hint="eastAsia"/>
          <w:kern w:val="0"/>
          <w:lang w:val="en-GB"/>
        </w:rPr>
        <w:t>25%</w:t>
      </w:r>
      <w:r>
        <w:rPr>
          <w:rFonts w:ascii="仿宋_GB2312" w:eastAsia="仿宋_GB2312" w:hAnsi="仿宋" w:cs="仿宋" w:hint="eastAsia"/>
          <w:kern w:val="0"/>
          <w:lang w:val="en-GB"/>
        </w:rPr>
        <w:t>权益份额或者其他对基金进行控制的个人。</w:t>
      </w:r>
    </w:p>
    <w:p w:rsidR="00066166" w:rsidRDefault="00F62BD0">
      <w:pPr>
        <w:jc w:val="left"/>
        <w:rPr>
          <w:rFonts w:ascii="仿宋_GB2312" w:eastAsia="仿宋_GB2312" w:hAnsi="仿宋" w:cs="仿宋"/>
          <w:kern w:val="0"/>
          <w:lang w:val="en-GB"/>
        </w:rPr>
      </w:pPr>
      <w:r>
        <w:rPr>
          <w:rFonts w:ascii="仿宋_GB2312" w:eastAsia="仿宋_GB2312" w:hAnsi="仿宋" w:cs="仿宋" w:hint="eastAsia"/>
          <w:kern w:val="0"/>
        </w:rPr>
        <w:t>6</w:t>
      </w:r>
      <w:r>
        <w:rPr>
          <w:rFonts w:ascii="仿宋_GB2312" w:eastAsia="仿宋_GB2312" w:hAnsi="仿宋" w:cs="仿宋" w:hint="eastAsia"/>
          <w:kern w:val="0"/>
          <w:lang w:val="en-GB"/>
        </w:rPr>
        <w:t xml:space="preserve">. </w:t>
      </w:r>
      <w:r>
        <w:rPr>
          <w:rFonts w:ascii="仿宋_GB2312" w:eastAsia="仿宋_GB2312" w:hAnsi="仿宋" w:cs="仿宋" w:hint="eastAsia"/>
          <w:kern w:val="0"/>
          <w:lang w:val="en-GB"/>
        </w:rPr>
        <w:t>政府机构、国际组织、中央银行、金融机构或者在证券市场上市交易的公司及其关联机</w:t>
      </w:r>
      <w:r>
        <w:rPr>
          <w:rFonts w:ascii="仿宋_GB2312" w:eastAsia="仿宋_GB2312" w:hAnsi="仿宋" w:cs="仿宋" w:hint="eastAsia"/>
          <w:kern w:val="0"/>
          <w:lang w:val="en-GB"/>
        </w:rPr>
        <w:t xml:space="preserve">     </w:t>
      </w:r>
    </w:p>
    <w:p w:rsidR="00066166" w:rsidRDefault="00F62BD0">
      <w:pPr>
        <w:jc w:val="left"/>
        <w:rPr>
          <w:rFonts w:ascii="仿宋_GB2312" w:eastAsia="仿宋_GB2312" w:hAnsi="仿宋" w:cs="仿宋"/>
          <w:kern w:val="0"/>
          <w:lang w:val="en-GB"/>
        </w:rPr>
      </w:pPr>
      <w:r>
        <w:rPr>
          <w:rFonts w:ascii="仿宋_GB2312" w:eastAsia="仿宋_GB2312" w:hAnsi="仿宋" w:cs="仿宋" w:hint="eastAsia"/>
          <w:kern w:val="0"/>
          <w:lang w:val="en-GB"/>
        </w:rPr>
        <w:t xml:space="preserve">   </w:t>
      </w:r>
      <w:r>
        <w:rPr>
          <w:rFonts w:ascii="仿宋_GB2312" w:eastAsia="仿宋_GB2312" w:hAnsi="仿宋" w:cs="仿宋" w:hint="eastAsia"/>
          <w:kern w:val="0"/>
          <w:lang w:val="en-GB"/>
        </w:rPr>
        <w:t>构，以及事业单位、军队、武警部队、居委会、村委会、社区委员会、社会</w:t>
      </w:r>
      <w:r>
        <w:rPr>
          <w:rFonts w:ascii="仿宋_GB2312" w:eastAsia="仿宋_GB2312" w:hAnsi="仿宋" w:cs="仿宋" w:hint="eastAsia"/>
          <w:kern w:val="0"/>
          <w:lang w:val="en-GB"/>
        </w:rPr>
        <w:t>团体等单位</w:t>
      </w:r>
    </w:p>
    <w:p w:rsidR="00066166" w:rsidRDefault="00F62BD0">
      <w:pPr>
        <w:jc w:val="left"/>
        <w:rPr>
          <w:rFonts w:ascii="仿宋_GB2312" w:eastAsia="仿宋_GB2312" w:hAnsi="仿宋" w:cs="仿宋"/>
          <w:kern w:val="0"/>
          <w:lang w:val="en-GB"/>
        </w:rPr>
      </w:pPr>
      <w:r>
        <w:rPr>
          <w:rFonts w:ascii="仿宋_GB2312" w:eastAsia="仿宋_GB2312" w:hAnsi="仿宋" w:cs="仿宋" w:hint="eastAsia"/>
          <w:kern w:val="0"/>
          <w:lang w:val="en-GB"/>
        </w:rPr>
        <w:t xml:space="preserve">   </w:t>
      </w:r>
      <w:r>
        <w:rPr>
          <w:rFonts w:ascii="仿宋_GB2312" w:eastAsia="仿宋_GB2312" w:hAnsi="仿宋" w:cs="仿宋" w:hint="eastAsia"/>
          <w:kern w:val="0"/>
          <w:lang w:val="en-GB"/>
        </w:rPr>
        <w:t>无需填写此声明文件。</w:t>
      </w:r>
    </w:p>
    <w:p w:rsidR="00066166" w:rsidRDefault="00066166">
      <w:pPr>
        <w:spacing w:line="480" w:lineRule="auto"/>
        <w:rPr>
          <w:rFonts w:eastAsia="楷体_GB2312"/>
          <w:b/>
          <w:sz w:val="30"/>
          <w:szCs w:val="28"/>
        </w:rPr>
      </w:pPr>
    </w:p>
    <w:p w:rsidR="00066166" w:rsidRDefault="00F62BD0">
      <w:pPr>
        <w:spacing w:beforeLines="50" w:before="156" w:afterLines="50" w:after="156" w:line="360" w:lineRule="auto"/>
        <w:outlineLvl w:val="0"/>
        <w:rPr>
          <w:rFonts w:eastAsia="楷体_GB2312"/>
          <w:b/>
          <w:sz w:val="24"/>
        </w:rPr>
      </w:pPr>
      <w:r>
        <w:rPr>
          <w:rFonts w:eastAsia="楷体_GB2312"/>
          <w:b/>
          <w:sz w:val="30"/>
          <w:szCs w:val="28"/>
        </w:rPr>
        <w:br w:type="page"/>
      </w:r>
      <w:bookmarkStart w:id="375" w:name="_Toc46056572"/>
      <w:bookmarkStart w:id="376" w:name="_Toc59631234"/>
      <w:bookmarkStart w:id="377" w:name="_Toc91143631"/>
      <w:bookmarkStart w:id="378" w:name="_Toc512363503"/>
      <w:bookmarkStart w:id="379" w:name="_Toc24977190"/>
      <w:bookmarkStart w:id="380" w:name="_Toc46069736"/>
      <w:r>
        <w:rPr>
          <w:rFonts w:eastAsia="楷体_GB2312" w:hint="eastAsia"/>
          <w:b/>
          <w:sz w:val="24"/>
        </w:rPr>
        <w:t>附件五：控制人税收居民身份声明文件</w:t>
      </w:r>
      <w:bookmarkEnd w:id="375"/>
      <w:bookmarkEnd w:id="376"/>
      <w:bookmarkEnd w:id="377"/>
      <w:bookmarkEnd w:id="378"/>
      <w:bookmarkEnd w:id="379"/>
      <w:bookmarkEnd w:id="380"/>
    </w:p>
    <w:p w:rsidR="00066166" w:rsidRDefault="00F62BD0">
      <w:pPr>
        <w:spacing w:line="480" w:lineRule="auto"/>
        <w:rPr>
          <w:rFonts w:ascii="宋体" w:hAnsi="宋体" w:cs="仿宋"/>
          <w:sz w:val="22"/>
          <w:szCs w:val="22"/>
          <w:u w:val="single"/>
        </w:rPr>
      </w:pPr>
      <w:r>
        <w:rPr>
          <w:rFonts w:ascii="宋体" w:hAnsi="宋体" w:cs="仿宋" w:hint="eastAsia"/>
          <w:kern w:val="0"/>
          <w:sz w:val="22"/>
          <w:szCs w:val="22"/>
        </w:rPr>
        <w:t>姓名：</w:t>
      </w:r>
    </w:p>
    <w:p w:rsidR="00066166" w:rsidRDefault="00F62BD0">
      <w:pPr>
        <w:spacing w:line="480" w:lineRule="auto"/>
        <w:rPr>
          <w:rFonts w:ascii="宋体" w:hAnsi="宋体" w:cs="仿宋"/>
          <w:sz w:val="22"/>
          <w:szCs w:val="22"/>
        </w:rPr>
      </w:pPr>
      <w:r>
        <w:rPr>
          <w:rFonts w:ascii="宋体" w:hAnsi="宋体" w:cs="仿宋" w:hint="eastAsia"/>
          <w:sz w:val="22"/>
          <w:szCs w:val="22"/>
        </w:rPr>
        <w:t>本人声明：□</w:t>
      </w:r>
      <w:r>
        <w:rPr>
          <w:rFonts w:ascii="宋体" w:hAnsi="宋体" w:cs="仿宋" w:hint="eastAsia"/>
          <w:sz w:val="22"/>
          <w:szCs w:val="22"/>
        </w:rPr>
        <w:t xml:space="preserve"> 1.</w:t>
      </w:r>
      <w:r>
        <w:rPr>
          <w:rFonts w:ascii="宋体" w:hAnsi="宋体" w:cs="仿宋" w:hint="eastAsia"/>
          <w:sz w:val="22"/>
          <w:szCs w:val="22"/>
        </w:rPr>
        <w:t>仅为中国税收居民</w:t>
      </w:r>
      <w:r>
        <w:rPr>
          <w:rFonts w:ascii="宋体" w:hAnsi="宋体" w:cs="仿宋" w:hint="eastAsia"/>
          <w:sz w:val="22"/>
          <w:szCs w:val="22"/>
        </w:rPr>
        <w:t xml:space="preserve"> </w:t>
      </w:r>
    </w:p>
    <w:p w:rsidR="00066166" w:rsidRDefault="00F62BD0">
      <w:pPr>
        <w:spacing w:line="480" w:lineRule="auto"/>
        <w:ind w:left="630" w:firstLine="420"/>
        <w:rPr>
          <w:rFonts w:ascii="宋体" w:hAnsi="宋体" w:cs="仿宋"/>
          <w:sz w:val="22"/>
          <w:szCs w:val="22"/>
        </w:rPr>
      </w:pPr>
      <w:r>
        <w:rPr>
          <w:rFonts w:ascii="宋体" w:hAnsi="宋体" w:cs="仿宋" w:hint="eastAsia"/>
          <w:sz w:val="22"/>
          <w:szCs w:val="22"/>
        </w:rPr>
        <w:t>□</w:t>
      </w:r>
      <w:r>
        <w:rPr>
          <w:rFonts w:ascii="宋体" w:hAnsi="宋体" w:cs="仿宋" w:hint="eastAsia"/>
          <w:sz w:val="22"/>
          <w:szCs w:val="22"/>
        </w:rPr>
        <w:t xml:space="preserve"> 2.</w:t>
      </w:r>
      <w:r>
        <w:rPr>
          <w:rFonts w:ascii="宋体" w:hAnsi="宋体" w:cs="仿宋" w:hint="eastAsia"/>
          <w:sz w:val="22"/>
          <w:szCs w:val="22"/>
        </w:rPr>
        <w:t>仅为非居民</w:t>
      </w:r>
      <w:r>
        <w:rPr>
          <w:rFonts w:ascii="宋体" w:hAnsi="宋体" w:cs="仿宋" w:hint="eastAsia"/>
          <w:sz w:val="22"/>
          <w:szCs w:val="22"/>
        </w:rPr>
        <w:t xml:space="preserve">  </w:t>
      </w:r>
    </w:p>
    <w:p w:rsidR="00066166" w:rsidRDefault="00F62BD0">
      <w:pPr>
        <w:spacing w:line="480" w:lineRule="auto"/>
        <w:ind w:firstLineChars="500" w:firstLine="1100"/>
        <w:rPr>
          <w:rFonts w:ascii="宋体" w:hAnsi="宋体" w:cs="仿宋"/>
          <w:sz w:val="22"/>
          <w:szCs w:val="22"/>
        </w:rPr>
      </w:pPr>
      <w:r>
        <w:rPr>
          <w:rFonts w:ascii="宋体" w:hAnsi="宋体" w:cs="仿宋" w:hint="eastAsia"/>
          <w:sz w:val="22"/>
          <w:szCs w:val="22"/>
        </w:rPr>
        <w:t>□</w:t>
      </w:r>
      <w:r>
        <w:rPr>
          <w:rFonts w:ascii="宋体" w:hAnsi="宋体" w:cs="仿宋" w:hint="eastAsia"/>
          <w:sz w:val="22"/>
          <w:szCs w:val="22"/>
        </w:rPr>
        <w:t xml:space="preserve"> 3.</w:t>
      </w:r>
      <w:r>
        <w:rPr>
          <w:rFonts w:ascii="宋体" w:hAnsi="宋体" w:cs="仿宋" w:hint="eastAsia"/>
          <w:sz w:val="22"/>
          <w:szCs w:val="22"/>
        </w:rPr>
        <w:t>既是中国税收居民又是其他国家（地区）税收居民</w:t>
      </w:r>
      <w:r>
        <w:rPr>
          <w:rFonts w:ascii="宋体" w:hAnsi="宋体" w:cs="仿宋" w:hint="eastAsia"/>
          <w:sz w:val="22"/>
          <w:szCs w:val="22"/>
        </w:rPr>
        <w:t xml:space="preserve">  </w:t>
      </w:r>
    </w:p>
    <w:p w:rsidR="00066166" w:rsidRDefault="00F62BD0">
      <w:pPr>
        <w:spacing w:line="480" w:lineRule="auto"/>
        <w:rPr>
          <w:rFonts w:ascii="宋体" w:hAnsi="宋体"/>
          <w:sz w:val="22"/>
          <w:szCs w:val="22"/>
        </w:rPr>
      </w:pPr>
      <w:r>
        <w:rPr>
          <w:rFonts w:ascii="宋体" w:hAnsi="宋体" w:cs="仿宋" w:hint="eastAsia"/>
          <w:sz w:val="22"/>
          <w:szCs w:val="22"/>
        </w:rPr>
        <w:t>如在以上选项中勾选第</w:t>
      </w:r>
      <w:r>
        <w:rPr>
          <w:rFonts w:ascii="宋体" w:hAnsi="宋体" w:cs="仿宋" w:hint="eastAsia"/>
          <w:sz w:val="22"/>
          <w:szCs w:val="22"/>
        </w:rPr>
        <w:t>2</w:t>
      </w:r>
      <w:r>
        <w:rPr>
          <w:rFonts w:ascii="宋体" w:hAnsi="宋体" w:cs="仿宋" w:hint="eastAsia"/>
          <w:sz w:val="22"/>
          <w:szCs w:val="22"/>
        </w:rPr>
        <w:t>项或第</w:t>
      </w:r>
      <w:r>
        <w:rPr>
          <w:rFonts w:ascii="宋体" w:hAnsi="宋体" w:cs="仿宋" w:hint="eastAsia"/>
          <w:sz w:val="22"/>
          <w:szCs w:val="22"/>
        </w:rPr>
        <w:t>3</w:t>
      </w:r>
      <w:r>
        <w:rPr>
          <w:rFonts w:ascii="宋体" w:hAnsi="宋体" w:cs="仿宋" w:hint="eastAsia"/>
          <w:sz w:val="22"/>
          <w:szCs w:val="22"/>
        </w:rPr>
        <w:t>项，请填写下列信息：</w:t>
      </w:r>
    </w:p>
    <w:p w:rsidR="00066166" w:rsidRDefault="00F62BD0">
      <w:pPr>
        <w:spacing w:line="480" w:lineRule="auto"/>
        <w:rPr>
          <w:rFonts w:ascii="宋体" w:hAnsi="宋体" w:cs="仿宋"/>
          <w:b/>
          <w:kern w:val="0"/>
          <w:sz w:val="22"/>
          <w:szCs w:val="22"/>
        </w:rPr>
      </w:pPr>
      <w:r>
        <w:rPr>
          <w:rFonts w:ascii="宋体" w:hAnsi="宋体" w:cs="仿宋" w:hint="eastAsia"/>
          <w:b/>
          <w:kern w:val="0"/>
          <w:sz w:val="22"/>
          <w:szCs w:val="22"/>
        </w:rPr>
        <w:t>一、机构信息</w:t>
      </w:r>
    </w:p>
    <w:p w:rsidR="00066166" w:rsidRDefault="00F62BD0">
      <w:pPr>
        <w:spacing w:line="480" w:lineRule="auto"/>
        <w:rPr>
          <w:rFonts w:ascii="宋体" w:hAnsi="宋体" w:cs="仿宋"/>
          <w:sz w:val="22"/>
          <w:szCs w:val="22"/>
          <w:u w:val="single"/>
        </w:rPr>
      </w:pPr>
      <w:r>
        <w:rPr>
          <w:rFonts w:ascii="宋体" w:hAnsi="宋体" w:cs="仿宋" w:hint="eastAsia"/>
          <w:kern w:val="0"/>
          <w:sz w:val="22"/>
          <w:szCs w:val="22"/>
        </w:rPr>
        <w:t>所控制机构名称（英文）</w:t>
      </w:r>
      <w:r>
        <w:rPr>
          <w:rFonts w:ascii="宋体" w:hAnsi="宋体" w:cs="仿宋" w:hint="eastAsia"/>
          <w:kern w:val="0"/>
          <w:sz w:val="22"/>
          <w:szCs w:val="22"/>
          <w:lang w:val="en-GB"/>
        </w:rPr>
        <w:t>：</w:t>
      </w:r>
    </w:p>
    <w:p w:rsidR="00066166" w:rsidRDefault="00F62BD0">
      <w:pPr>
        <w:spacing w:line="480" w:lineRule="auto"/>
        <w:rPr>
          <w:rFonts w:ascii="宋体" w:hAnsi="宋体" w:cs="仿宋"/>
          <w:sz w:val="22"/>
          <w:szCs w:val="22"/>
          <w:u w:val="single"/>
        </w:rPr>
      </w:pPr>
      <w:r>
        <w:rPr>
          <w:rFonts w:ascii="宋体" w:hAnsi="宋体" w:cs="仿宋" w:hint="eastAsia"/>
          <w:sz w:val="22"/>
          <w:szCs w:val="22"/>
        </w:rPr>
        <w:t>机构地址（英文或拼音）：</w:t>
      </w:r>
      <w:r>
        <w:rPr>
          <w:rFonts w:ascii="宋体" w:hAnsi="宋体" w:cs="仿宋" w:hint="eastAsia"/>
          <w:sz w:val="22"/>
          <w:szCs w:val="22"/>
          <w:u w:val="single"/>
        </w:rPr>
        <w:t xml:space="preserve">       </w:t>
      </w:r>
      <w:r>
        <w:rPr>
          <w:rFonts w:ascii="宋体" w:hAnsi="宋体" w:cs="仿宋" w:hint="eastAsia"/>
          <w:sz w:val="22"/>
          <w:szCs w:val="22"/>
          <w:u w:val="single"/>
        </w:rPr>
        <w:t>（国家）</w:t>
      </w:r>
      <w:r>
        <w:rPr>
          <w:rFonts w:ascii="宋体" w:hAnsi="宋体" w:cs="仿宋" w:hint="eastAsia"/>
          <w:sz w:val="22"/>
          <w:szCs w:val="22"/>
          <w:u w:val="single"/>
        </w:rPr>
        <w:t xml:space="preserve">    </w:t>
      </w:r>
      <w:r>
        <w:rPr>
          <w:rFonts w:ascii="宋体" w:hAnsi="宋体" w:cs="仿宋" w:hint="eastAsia"/>
          <w:sz w:val="22"/>
          <w:szCs w:val="22"/>
          <w:u w:val="single"/>
        </w:rPr>
        <w:t>（省）</w:t>
      </w:r>
      <w:r>
        <w:rPr>
          <w:rFonts w:ascii="宋体" w:hAnsi="宋体" w:cs="仿宋" w:hint="eastAsia"/>
          <w:sz w:val="22"/>
          <w:szCs w:val="22"/>
          <w:u w:val="single"/>
        </w:rPr>
        <w:t xml:space="preserve">     </w:t>
      </w:r>
      <w:r>
        <w:rPr>
          <w:rFonts w:ascii="宋体" w:hAnsi="宋体" w:cs="仿宋" w:hint="eastAsia"/>
          <w:sz w:val="22"/>
          <w:szCs w:val="22"/>
          <w:u w:val="single"/>
        </w:rPr>
        <w:t>（市）</w:t>
      </w:r>
      <w:r>
        <w:rPr>
          <w:rFonts w:ascii="宋体" w:hAnsi="宋体" w:cs="仿宋" w:hint="eastAsia"/>
          <w:sz w:val="22"/>
          <w:szCs w:val="22"/>
          <w:u w:val="single"/>
        </w:rPr>
        <w:t xml:space="preserve">           </w:t>
      </w:r>
    </w:p>
    <w:p w:rsidR="00066166" w:rsidRDefault="00F62BD0">
      <w:pPr>
        <w:spacing w:line="480" w:lineRule="auto"/>
        <w:rPr>
          <w:rFonts w:ascii="宋体" w:hAnsi="宋体" w:cs="仿宋"/>
          <w:sz w:val="22"/>
          <w:szCs w:val="22"/>
        </w:rPr>
      </w:pPr>
      <w:r>
        <w:rPr>
          <w:rFonts w:ascii="宋体" w:hAnsi="宋体" w:cs="仿宋" w:hint="eastAsia"/>
          <w:sz w:val="22"/>
          <w:szCs w:val="22"/>
        </w:rPr>
        <w:t>税收居民国（地区）及纳税人识别号：</w:t>
      </w:r>
    </w:p>
    <w:p w:rsidR="00066166" w:rsidRDefault="00F62BD0">
      <w:pPr>
        <w:spacing w:line="480" w:lineRule="auto"/>
        <w:rPr>
          <w:rFonts w:ascii="宋体" w:hAnsi="宋体" w:cs="仿宋"/>
          <w:b/>
          <w:sz w:val="22"/>
          <w:szCs w:val="22"/>
        </w:rPr>
      </w:pPr>
      <w:r>
        <w:rPr>
          <w:rFonts w:ascii="宋体" w:hAnsi="宋体" w:cs="仿宋" w:hint="eastAsia"/>
          <w:b/>
          <w:sz w:val="22"/>
          <w:szCs w:val="22"/>
        </w:rPr>
        <w:t>二、控制人信息</w:t>
      </w:r>
    </w:p>
    <w:p w:rsidR="00066166" w:rsidRDefault="00F62BD0">
      <w:pPr>
        <w:spacing w:line="480" w:lineRule="auto"/>
        <w:rPr>
          <w:rFonts w:ascii="宋体" w:hAnsi="宋体" w:cs="仿宋"/>
          <w:sz w:val="22"/>
          <w:szCs w:val="22"/>
          <w:u w:val="single"/>
        </w:rPr>
      </w:pPr>
      <w:r>
        <w:rPr>
          <w:rFonts w:ascii="宋体" w:hAnsi="宋体" w:cs="仿宋" w:hint="eastAsia"/>
          <w:kern w:val="0"/>
          <w:sz w:val="22"/>
          <w:szCs w:val="22"/>
          <w:lang w:val="en-GB"/>
        </w:rPr>
        <w:t>姓（英文或拼音）：名（英文或拼音）</w:t>
      </w:r>
      <w:r>
        <w:rPr>
          <w:rFonts w:ascii="宋体" w:hAnsi="宋体" w:cs="仿宋" w:hint="eastAsia"/>
          <w:kern w:val="0"/>
          <w:sz w:val="22"/>
          <w:szCs w:val="22"/>
          <w:lang w:val="en-GB"/>
        </w:rPr>
        <w:t>:</w:t>
      </w:r>
    </w:p>
    <w:p w:rsidR="00066166" w:rsidRDefault="00F62BD0">
      <w:pPr>
        <w:spacing w:line="480" w:lineRule="auto"/>
        <w:rPr>
          <w:rFonts w:ascii="宋体" w:hAnsi="宋体" w:cs="仿宋"/>
          <w:sz w:val="22"/>
          <w:szCs w:val="22"/>
        </w:rPr>
      </w:pPr>
      <w:r>
        <w:rPr>
          <w:rFonts w:ascii="宋体" w:hAnsi="宋体" w:cs="仿宋" w:hint="eastAsia"/>
          <w:sz w:val="22"/>
          <w:szCs w:val="22"/>
        </w:rPr>
        <w:t>出生日期：</w:t>
      </w:r>
    </w:p>
    <w:p w:rsidR="00066166" w:rsidRDefault="00F62BD0">
      <w:pPr>
        <w:spacing w:line="480" w:lineRule="auto"/>
        <w:rPr>
          <w:rFonts w:ascii="宋体" w:hAnsi="宋体" w:cs="仿宋"/>
          <w:sz w:val="22"/>
          <w:szCs w:val="22"/>
        </w:rPr>
      </w:pPr>
      <w:r>
        <w:rPr>
          <w:rFonts w:ascii="宋体" w:hAnsi="宋体" w:cs="仿宋" w:hint="eastAsia"/>
          <w:sz w:val="22"/>
          <w:szCs w:val="22"/>
        </w:rPr>
        <w:t>现居地址（中文）：</w:t>
      </w:r>
      <w:r>
        <w:rPr>
          <w:rFonts w:ascii="宋体" w:hAnsi="宋体" w:cs="仿宋" w:hint="eastAsia"/>
          <w:sz w:val="22"/>
          <w:szCs w:val="22"/>
          <w:u w:val="single"/>
        </w:rPr>
        <w:t xml:space="preserve">     </w:t>
      </w:r>
      <w:r>
        <w:rPr>
          <w:rFonts w:ascii="宋体" w:hAnsi="宋体" w:cs="仿宋" w:hint="eastAsia"/>
          <w:sz w:val="22"/>
          <w:szCs w:val="22"/>
          <w:u w:val="single"/>
        </w:rPr>
        <w:t>（国家）</w:t>
      </w:r>
      <w:r>
        <w:rPr>
          <w:rFonts w:ascii="宋体" w:hAnsi="宋体" w:cs="仿宋" w:hint="eastAsia"/>
          <w:sz w:val="22"/>
          <w:szCs w:val="22"/>
          <w:u w:val="single"/>
        </w:rPr>
        <w:t xml:space="preserve">    </w:t>
      </w:r>
      <w:r>
        <w:rPr>
          <w:rFonts w:ascii="宋体" w:hAnsi="宋体" w:cs="仿宋" w:hint="eastAsia"/>
          <w:sz w:val="22"/>
          <w:szCs w:val="22"/>
          <w:u w:val="single"/>
        </w:rPr>
        <w:t>（省）</w:t>
      </w:r>
      <w:r>
        <w:rPr>
          <w:rFonts w:ascii="宋体" w:hAnsi="宋体" w:cs="仿宋" w:hint="eastAsia"/>
          <w:sz w:val="22"/>
          <w:szCs w:val="22"/>
          <w:u w:val="single"/>
        </w:rPr>
        <w:t xml:space="preserve">     </w:t>
      </w:r>
      <w:r>
        <w:rPr>
          <w:rFonts w:ascii="宋体" w:hAnsi="宋体" w:cs="仿宋" w:hint="eastAsia"/>
          <w:sz w:val="22"/>
          <w:szCs w:val="22"/>
          <w:u w:val="single"/>
        </w:rPr>
        <w:t>（市）</w:t>
      </w:r>
      <w:r>
        <w:rPr>
          <w:rFonts w:ascii="宋体" w:hAnsi="宋体" w:cs="仿宋" w:hint="eastAsia"/>
          <w:sz w:val="22"/>
          <w:szCs w:val="22"/>
          <w:u w:val="single"/>
        </w:rPr>
        <w:t xml:space="preserve">          </w:t>
      </w:r>
      <w:r>
        <w:rPr>
          <w:rFonts w:ascii="宋体" w:hAnsi="宋体" w:cs="仿宋" w:hint="eastAsia"/>
          <w:sz w:val="22"/>
          <w:szCs w:val="22"/>
        </w:rPr>
        <w:t>（境外地址可不填此项）</w:t>
      </w:r>
    </w:p>
    <w:p w:rsidR="00066166" w:rsidRDefault="00F62BD0">
      <w:pPr>
        <w:spacing w:line="480" w:lineRule="auto"/>
        <w:ind w:firstLineChars="400" w:firstLine="880"/>
        <w:rPr>
          <w:rFonts w:ascii="宋体" w:hAnsi="宋体" w:cs="仿宋"/>
          <w:sz w:val="22"/>
          <w:szCs w:val="22"/>
        </w:rPr>
      </w:pPr>
      <w:r>
        <w:rPr>
          <w:rFonts w:ascii="宋体" w:hAnsi="宋体" w:cs="仿宋" w:hint="eastAsia"/>
          <w:sz w:val="22"/>
          <w:szCs w:val="22"/>
        </w:rPr>
        <w:t>（英文或拼音）：</w:t>
      </w:r>
      <w:r>
        <w:rPr>
          <w:rFonts w:ascii="宋体" w:hAnsi="宋体" w:cs="仿宋" w:hint="eastAsia"/>
          <w:sz w:val="22"/>
          <w:szCs w:val="22"/>
          <w:u w:val="single"/>
        </w:rPr>
        <w:t xml:space="preserve">    </w:t>
      </w:r>
      <w:r>
        <w:rPr>
          <w:rFonts w:ascii="宋体" w:hAnsi="宋体" w:cs="仿宋" w:hint="eastAsia"/>
          <w:sz w:val="22"/>
          <w:szCs w:val="22"/>
          <w:u w:val="single"/>
        </w:rPr>
        <w:t>（国家）</w:t>
      </w:r>
      <w:r>
        <w:rPr>
          <w:rFonts w:ascii="宋体" w:hAnsi="宋体" w:cs="仿宋" w:hint="eastAsia"/>
          <w:sz w:val="22"/>
          <w:szCs w:val="22"/>
          <w:u w:val="single"/>
        </w:rPr>
        <w:t xml:space="preserve">    </w:t>
      </w:r>
      <w:r>
        <w:rPr>
          <w:rFonts w:ascii="宋体" w:hAnsi="宋体" w:cs="仿宋" w:hint="eastAsia"/>
          <w:sz w:val="22"/>
          <w:szCs w:val="22"/>
          <w:u w:val="single"/>
        </w:rPr>
        <w:t>（省）</w:t>
      </w:r>
      <w:r>
        <w:rPr>
          <w:rFonts w:ascii="宋体" w:hAnsi="宋体" w:cs="仿宋" w:hint="eastAsia"/>
          <w:sz w:val="22"/>
          <w:szCs w:val="22"/>
          <w:u w:val="single"/>
        </w:rPr>
        <w:t xml:space="preserve">     </w:t>
      </w:r>
      <w:r>
        <w:rPr>
          <w:rFonts w:ascii="宋体" w:hAnsi="宋体" w:cs="仿宋" w:hint="eastAsia"/>
          <w:sz w:val="22"/>
          <w:szCs w:val="22"/>
          <w:u w:val="single"/>
        </w:rPr>
        <w:t>（市）</w:t>
      </w:r>
      <w:r>
        <w:rPr>
          <w:rFonts w:ascii="宋体" w:hAnsi="宋体" w:cs="仿宋" w:hint="eastAsia"/>
          <w:sz w:val="22"/>
          <w:szCs w:val="22"/>
          <w:u w:val="single"/>
        </w:rPr>
        <w:t xml:space="preserve">           </w:t>
      </w:r>
    </w:p>
    <w:p w:rsidR="00066166" w:rsidRDefault="00F62BD0">
      <w:pPr>
        <w:spacing w:line="480" w:lineRule="auto"/>
        <w:rPr>
          <w:rFonts w:ascii="宋体" w:hAnsi="宋体" w:cs="仿宋"/>
          <w:sz w:val="22"/>
          <w:szCs w:val="22"/>
        </w:rPr>
      </w:pPr>
      <w:r>
        <w:rPr>
          <w:rFonts w:ascii="宋体" w:hAnsi="宋体" w:cs="仿宋" w:hint="eastAsia"/>
          <w:sz w:val="22"/>
          <w:szCs w:val="22"/>
        </w:rPr>
        <w:t>出生地</w:t>
      </w:r>
      <w:r>
        <w:rPr>
          <w:rFonts w:ascii="宋体" w:hAnsi="宋体" w:cs="仿宋" w:hint="eastAsia"/>
          <w:sz w:val="22"/>
          <w:szCs w:val="22"/>
        </w:rPr>
        <w:t xml:space="preserve"> </w:t>
      </w:r>
      <w:r>
        <w:rPr>
          <w:rFonts w:ascii="宋体" w:hAnsi="宋体" w:cs="仿宋" w:hint="eastAsia"/>
          <w:sz w:val="22"/>
          <w:szCs w:val="22"/>
        </w:rPr>
        <w:t>（中文）：</w:t>
      </w:r>
      <w:r>
        <w:rPr>
          <w:rFonts w:ascii="宋体" w:hAnsi="宋体" w:cs="仿宋" w:hint="eastAsia"/>
          <w:sz w:val="22"/>
          <w:szCs w:val="22"/>
          <w:u w:val="single"/>
        </w:rPr>
        <w:t xml:space="preserve">     </w:t>
      </w:r>
      <w:r>
        <w:rPr>
          <w:rFonts w:ascii="宋体" w:hAnsi="宋体" w:cs="仿宋" w:hint="eastAsia"/>
          <w:sz w:val="22"/>
          <w:szCs w:val="22"/>
          <w:u w:val="single"/>
        </w:rPr>
        <w:t>（国家）</w:t>
      </w:r>
      <w:r>
        <w:rPr>
          <w:rFonts w:ascii="宋体" w:hAnsi="宋体" w:cs="仿宋" w:hint="eastAsia"/>
          <w:sz w:val="22"/>
          <w:szCs w:val="22"/>
          <w:u w:val="single"/>
        </w:rPr>
        <w:t xml:space="preserve">    </w:t>
      </w:r>
      <w:r>
        <w:rPr>
          <w:rFonts w:ascii="宋体" w:hAnsi="宋体" w:cs="仿宋" w:hint="eastAsia"/>
          <w:sz w:val="22"/>
          <w:szCs w:val="22"/>
          <w:u w:val="single"/>
        </w:rPr>
        <w:t>（省）</w:t>
      </w:r>
      <w:r>
        <w:rPr>
          <w:rFonts w:ascii="宋体" w:hAnsi="宋体" w:cs="仿宋" w:hint="eastAsia"/>
          <w:sz w:val="22"/>
          <w:szCs w:val="22"/>
          <w:u w:val="single"/>
        </w:rPr>
        <w:t xml:space="preserve">     </w:t>
      </w:r>
      <w:r>
        <w:rPr>
          <w:rFonts w:ascii="宋体" w:hAnsi="宋体" w:cs="仿宋" w:hint="eastAsia"/>
          <w:sz w:val="22"/>
          <w:szCs w:val="22"/>
          <w:u w:val="single"/>
        </w:rPr>
        <w:t>（市）</w:t>
      </w:r>
      <w:r>
        <w:rPr>
          <w:rFonts w:ascii="宋体" w:hAnsi="宋体" w:cs="仿宋" w:hint="eastAsia"/>
          <w:sz w:val="22"/>
          <w:szCs w:val="22"/>
          <w:u w:val="single"/>
        </w:rPr>
        <w:t xml:space="preserve">           </w:t>
      </w:r>
      <w:r>
        <w:rPr>
          <w:rFonts w:ascii="宋体" w:hAnsi="宋体" w:cs="仿宋" w:hint="eastAsia"/>
          <w:sz w:val="22"/>
          <w:szCs w:val="22"/>
        </w:rPr>
        <w:t>（境外地址可不填此项）</w:t>
      </w:r>
    </w:p>
    <w:p w:rsidR="00066166" w:rsidRDefault="00F62BD0">
      <w:pPr>
        <w:spacing w:line="480" w:lineRule="auto"/>
        <w:ind w:firstLineChars="350" w:firstLine="770"/>
        <w:rPr>
          <w:rFonts w:ascii="宋体" w:hAnsi="宋体" w:cs="仿宋"/>
          <w:sz w:val="22"/>
          <w:szCs w:val="22"/>
        </w:rPr>
      </w:pPr>
      <w:r>
        <w:rPr>
          <w:rFonts w:ascii="宋体" w:hAnsi="宋体" w:cs="仿宋" w:hint="eastAsia"/>
          <w:sz w:val="22"/>
          <w:szCs w:val="22"/>
        </w:rPr>
        <w:t>（英文或拼音）：</w:t>
      </w:r>
      <w:r>
        <w:rPr>
          <w:rFonts w:ascii="宋体" w:hAnsi="宋体" w:cs="仿宋" w:hint="eastAsia"/>
          <w:sz w:val="22"/>
          <w:szCs w:val="22"/>
          <w:u w:val="single"/>
        </w:rPr>
        <w:t xml:space="preserve">     </w:t>
      </w:r>
      <w:r>
        <w:rPr>
          <w:rFonts w:ascii="宋体" w:hAnsi="宋体" w:cs="仿宋" w:hint="eastAsia"/>
          <w:sz w:val="22"/>
          <w:szCs w:val="22"/>
          <w:u w:val="single"/>
        </w:rPr>
        <w:t>（国家）</w:t>
      </w:r>
      <w:r>
        <w:rPr>
          <w:rFonts w:ascii="宋体" w:hAnsi="宋体" w:cs="仿宋" w:hint="eastAsia"/>
          <w:sz w:val="22"/>
          <w:szCs w:val="22"/>
          <w:u w:val="single"/>
        </w:rPr>
        <w:t xml:space="preserve">    </w:t>
      </w:r>
      <w:r>
        <w:rPr>
          <w:rFonts w:ascii="宋体" w:hAnsi="宋体" w:cs="仿宋" w:hint="eastAsia"/>
          <w:sz w:val="22"/>
          <w:szCs w:val="22"/>
          <w:u w:val="single"/>
        </w:rPr>
        <w:t>（省）</w:t>
      </w:r>
      <w:r>
        <w:rPr>
          <w:rFonts w:ascii="宋体" w:hAnsi="宋体" w:cs="仿宋" w:hint="eastAsia"/>
          <w:sz w:val="22"/>
          <w:szCs w:val="22"/>
          <w:u w:val="single"/>
        </w:rPr>
        <w:t xml:space="preserve">    </w:t>
      </w:r>
      <w:r>
        <w:rPr>
          <w:rFonts w:ascii="宋体" w:hAnsi="宋体" w:cs="仿宋" w:hint="eastAsia"/>
          <w:sz w:val="22"/>
          <w:szCs w:val="22"/>
          <w:u w:val="single"/>
        </w:rPr>
        <w:t>（市）</w:t>
      </w:r>
      <w:r>
        <w:rPr>
          <w:rFonts w:ascii="宋体" w:hAnsi="宋体" w:cs="仿宋" w:hint="eastAsia"/>
          <w:sz w:val="22"/>
          <w:szCs w:val="22"/>
          <w:u w:val="single"/>
        </w:rPr>
        <w:t xml:space="preserve">            </w:t>
      </w:r>
    </w:p>
    <w:p w:rsidR="00066166" w:rsidRDefault="00F62BD0">
      <w:pPr>
        <w:spacing w:line="480" w:lineRule="auto"/>
        <w:rPr>
          <w:rFonts w:ascii="宋体" w:hAnsi="宋体"/>
          <w:sz w:val="22"/>
          <w:szCs w:val="22"/>
        </w:rPr>
      </w:pPr>
      <w:r>
        <w:rPr>
          <w:rFonts w:ascii="宋体" w:hAnsi="宋体" w:cs="仿宋" w:hint="eastAsia"/>
          <w:sz w:val="22"/>
          <w:szCs w:val="22"/>
        </w:rPr>
        <w:t>税收居民国（地区）及纳税人识别号：</w:t>
      </w:r>
    </w:p>
    <w:p w:rsidR="00066166" w:rsidRDefault="00F62BD0">
      <w:pPr>
        <w:spacing w:line="480" w:lineRule="auto"/>
        <w:ind w:leftChars="100" w:left="210"/>
        <w:rPr>
          <w:rFonts w:ascii="宋体" w:hAnsi="宋体" w:cs="仿宋"/>
          <w:sz w:val="22"/>
          <w:szCs w:val="22"/>
        </w:rPr>
      </w:pPr>
      <w:r>
        <w:rPr>
          <w:rFonts w:ascii="宋体" w:hAnsi="宋体" w:cs="仿宋" w:hint="eastAsia"/>
          <w:sz w:val="22"/>
          <w:szCs w:val="22"/>
          <w:u w:val="single"/>
        </w:rPr>
        <w:t xml:space="preserve">1.                                      </w:t>
      </w:r>
      <w:r>
        <w:rPr>
          <w:rFonts w:ascii="宋体" w:hAnsi="宋体" w:cs="仿宋" w:hint="eastAsia"/>
          <w:sz w:val="22"/>
          <w:szCs w:val="22"/>
          <w:u w:val="single"/>
        </w:rPr>
        <w:t xml:space="preserve">   </w:t>
      </w:r>
    </w:p>
    <w:p w:rsidR="00066166" w:rsidRDefault="00F62BD0">
      <w:pPr>
        <w:spacing w:line="480" w:lineRule="auto"/>
        <w:ind w:leftChars="100" w:left="210"/>
        <w:rPr>
          <w:rFonts w:ascii="宋体" w:hAnsi="宋体" w:cs="仿宋"/>
          <w:sz w:val="22"/>
          <w:szCs w:val="22"/>
          <w:u w:val="single"/>
        </w:rPr>
      </w:pPr>
      <w:r>
        <w:rPr>
          <w:rFonts w:ascii="宋体" w:hAnsi="宋体" w:cs="仿宋" w:hint="eastAsia"/>
          <w:sz w:val="22"/>
          <w:szCs w:val="22"/>
          <w:u w:val="single"/>
        </w:rPr>
        <w:t>2.</w:t>
      </w:r>
      <w:r>
        <w:rPr>
          <w:rFonts w:ascii="宋体" w:hAnsi="宋体" w:cs="仿宋" w:hint="eastAsia"/>
          <w:sz w:val="22"/>
          <w:szCs w:val="22"/>
          <w:u w:val="single"/>
        </w:rPr>
        <w:t>（如有）</w:t>
      </w:r>
      <w:r>
        <w:rPr>
          <w:rFonts w:ascii="宋体" w:hAnsi="宋体" w:cs="仿宋" w:hint="eastAsia"/>
          <w:sz w:val="22"/>
          <w:szCs w:val="22"/>
          <w:u w:val="single"/>
        </w:rPr>
        <w:t xml:space="preserve">                                 </w:t>
      </w:r>
    </w:p>
    <w:p w:rsidR="00066166" w:rsidRDefault="00F62BD0">
      <w:pPr>
        <w:spacing w:line="480" w:lineRule="auto"/>
        <w:ind w:leftChars="100" w:left="210"/>
        <w:rPr>
          <w:rFonts w:ascii="宋体" w:hAnsi="宋体" w:cs="仿宋"/>
          <w:sz w:val="22"/>
          <w:szCs w:val="22"/>
          <w:u w:val="single"/>
        </w:rPr>
      </w:pPr>
      <w:r>
        <w:rPr>
          <w:rFonts w:ascii="宋体" w:hAnsi="宋体" w:cs="仿宋" w:hint="eastAsia"/>
          <w:sz w:val="22"/>
          <w:szCs w:val="22"/>
          <w:u w:val="single"/>
        </w:rPr>
        <w:t>3.</w:t>
      </w:r>
      <w:r>
        <w:rPr>
          <w:rFonts w:ascii="宋体" w:hAnsi="宋体" w:cs="仿宋" w:hint="eastAsia"/>
          <w:sz w:val="22"/>
          <w:szCs w:val="22"/>
          <w:u w:val="single"/>
        </w:rPr>
        <w:t>（如有）</w:t>
      </w:r>
      <w:r>
        <w:rPr>
          <w:rFonts w:ascii="宋体" w:hAnsi="宋体" w:cs="仿宋" w:hint="eastAsia"/>
          <w:sz w:val="22"/>
          <w:szCs w:val="22"/>
          <w:u w:val="single"/>
        </w:rPr>
        <w:t xml:space="preserve">                                 </w:t>
      </w:r>
    </w:p>
    <w:p w:rsidR="00066166" w:rsidRDefault="00F62BD0">
      <w:pPr>
        <w:widowControl/>
        <w:wordWrap w:val="0"/>
        <w:spacing w:line="480" w:lineRule="auto"/>
        <w:rPr>
          <w:rFonts w:ascii="宋体" w:hAnsi="宋体" w:cs="Arial"/>
          <w:color w:val="000000"/>
          <w:kern w:val="0"/>
          <w:sz w:val="22"/>
          <w:szCs w:val="22"/>
          <w:u w:val="single"/>
        </w:rPr>
      </w:pPr>
      <w:r>
        <w:rPr>
          <w:rFonts w:ascii="宋体" w:hAnsi="宋体" w:cs="Arial" w:hint="eastAsia"/>
          <w:color w:val="000000"/>
          <w:kern w:val="0"/>
          <w:sz w:val="22"/>
          <w:szCs w:val="22"/>
        </w:rPr>
        <w:t>身份证或身份证件类型的种类：</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p>
    <w:p w:rsidR="00066166" w:rsidRDefault="00F62BD0">
      <w:pPr>
        <w:widowControl/>
        <w:wordWrap w:val="0"/>
        <w:spacing w:line="480" w:lineRule="auto"/>
        <w:rPr>
          <w:rFonts w:ascii="宋体" w:hAnsi="宋体" w:cs="Arial"/>
          <w:color w:val="000000"/>
          <w:kern w:val="0"/>
          <w:sz w:val="22"/>
          <w:szCs w:val="22"/>
          <w:u w:val="single"/>
        </w:rPr>
      </w:pPr>
      <w:r>
        <w:rPr>
          <w:rFonts w:ascii="宋体" w:hAnsi="宋体" w:cs="Arial" w:hint="eastAsia"/>
          <w:color w:val="000000"/>
          <w:kern w:val="0"/>
          <w:sz w:val="22"/>
          <w:szCs w:val="22"/>
        </w:rPr>
        <w:t>身份证或身份证件类型的号码：</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p>
    <w:p w:rsidR="00066166" w:rsidRDefault="00F62BD0">
      <w:pPr>
        <w:spacing w:line="480" w:lineRule="auto"/>
        <w:rPr>
          <w:rFonts w:ascii="宋体" w:hAnsi="宋体" w:cs="仿宋"/>
          <w:sz w:val="22"/>
          <w:szCs w:val="22"/>
          <w:u w:val="single"/>
        </w:rPr>
      </w:pPr>
      <w:r>
        <w:rPr>
          <w:rFonts w:ascii="宋体" w:hAnsi="宋体" w:cs="Arial" w:hint="eastAsia"/>
          <w:color w:val="000000"/>
          <w:kern w:val="0"/>
          <w:sz w:val="22"/>
          <w:szCs w:val="22"/>
        </w:rPr>
        <w:t>身份证或身份证件类型的开始日期：</w:t>
      </w:r>
      <w:r>
        <w:rPr>
          <w:rFonts w:ascii="宋体" w:hAnsi="宋体" w:cs="Arial"/>
          <w:color w:val="000000"/>
          <w:kern w:val="0"/>
          <w:sz w:val="22"/>
          <w:szCs w:val="22"/>
          <w:u w:val="single"/>
        </w:rPr>
        <w:tab/>
      </w:r>
      <w:r>
        <w:rPr>
          <w:rFonts w:ascii="宋体" w:hAnsi="宋体" w:cs="Arial" w:hint="eastAsia"/>
          <w:color w:val="000000"/>
          <w:kern w:val="0"/>
          <w:sz w:val="22"/>
          <w:szCs w:val="22"/>
        </w:rPr>
        <w:t>结束日期：</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hint="eastAsia"/>
          <w:color w:val="000000"/>
          <w:kern w:val="0"/>
          <w:sz w:val="22"/>
          <w:szCs w:val="22"/>
          <w:u w:val="single"/>
        </w:rPr>
        <w:br/>
      </w:r>
    </w:p>
    <w:p w:rsidR="00066166" w:rsidRDefault="00F62BD0">
      <w:pPr>
        <w:spacing w:line="480" w:lineRule="auto"/>
        <w:rPr>
          <w:rFonts w:ascii="宋体" w:hAnsi="宋体"/>
          <w:sz w:val="22"/>
          <w:szCs w:val="22"/>
        </w:rPr>
      </w:pPr>
      <w:r>
        <w:rPr>
          <w:rFonts w:ascii="宋体" w:hAnsi="宋体" w:cs="仿宋" w:hint="eastAsia"/>
          <w:sz w:val="22"/>
          <w:szCs w:val="22"/>
        </w:rPr>
        <w:t>如不能提供居民国（地区）纳税人识别号，请选择原因：</w:t>
      </w:r>
    </w:p>
    <w:p w:rsidR="00066166" w:rsidRDefault="00F62BD0">
      <w:pPr>
        <w:spacing w:line="480" w:lineRule="auto"/>
        <w:ind w:leftChars="100" w:left="210"/>
        <w:rPr>
          <w:rFonts w:ascii="宋体" w:hAnsi="宋体"/>
          <w:sz w:val="22"/>
          <w:szCs w:val="22"/>
        </w:rPr>
      </w:pPr>
      <w:r>
        <w:rPr>
          <w:rFonts w:ascii="宋体" w:hAnsi="宋体" w:cs="仿宋" w:hint="eastAsia"/>
          <w:sz w:val="22"/>
          <w:szCs w:val="22"/>
        </w:rPr>
        <w:t>□</w:t>
      </w:r>
      <w:r>
        <w:rPr>
          <w:rFonts w:ascii="宋体" w:hAnsi="宋体" w:cs="仿宋" w:hint="eastAsia"/>
          <w:sz w:val="22"/>
          <w:szCs w:val="22"/>
        </w:rPr>
        <w:t xml:space="preserve"> </w:t>
      </w:r>
      <w:r>
        <w:rPr>
          <w:rFonts w:ascii="宋体" w:hAnsi="宋体" w:cs="仿宋" w:hint="eastAsia"/>
          <w:sz w:val="22"/>
          <w:szCs w:val="22"/>
        </w:rPr>
        <w:t>居民国（地区）不发放纳税人识别号</w:t>
      </w:r>
    </w:p>
    <w:p w:rsidR="00066166" w:rsidRDefault="00F62BD0">
      <w:pPr>
        <w:spacing w:line="480" w:lineRule="auto"/>
        <w:ind w:leftChars="100" w:left="210"/>
        <w:rPr>
          <w:rFonts w:ascii="宋体" w:hAnsi="宋体"/>
          <w:sz w:val="22"/>
          <w:szCs w:val="22"/>
        </w:rPr>
      </w:pPr>
      <w:r>
        <w:rPr>
          <w:rFonts w:ascii="宋体" w:hAnsi="宋体" w:cs="仿宋" w:hint="eastAsia"/>
          <w:sz w:val="22"/>
          <w:szCs w:val="22"/>
        </w:rPr>
        <w:t>□</w:t>
      </w:r>
      <w:r>
        <w:rPr>
          <w:rFonts w:ascii="宋体" w:hAnsi="宋体" w:cs="仿宋" w:hint="eastAsia"/>
          <w:sz w:val="22"/>
          <w:szCs w:val="22"/>
        </w:rPr>
        <w:t xml:space="preserve"> </w:t>
      </w:r>
      <w:r>
        <w:rPr>
          <w:rFonts w:ascii="宋体" w:hAnsi="宋体" w:cs="仿宋" w:hint="eastAsia"/>
          <w:sz w:val="22"/>
          <w:szCs w:val="22"/>
        </w:rPr>
        <w:t>账户持有人未能取得纳税人识别号，如选此项，请解释具体原因：</w:t>
      </w:r>
    </w:p>
    <w:p w:rsidR="00066166" w:rsidRDefault="00066166">
      <w:pPr>
        <w:spacing w:line="480" w:lineRule="auto"/>
        <w:rPr>
          <w:rFonts w:ascii="宋体" w:hAnsi="宋体" w:cs="仿宋"/>
          <w:sz w:val="22"/>
          <w:szCs w:val="22"/>
          <w:u w:val="single"/>
        </w:rPr>
      </w:pPr>
    </w:p>
    <w:p w:rsidR="00066166" w:rsidRDefault="00F62BD0">
      <w:pPr>
        <w:spacing w:line="480" w:lineRule="auto"/>
        <w:rPr>
          <w:rFonts w:ascii="宋体" w:hAnsi="宋体" w:cs="仿宋"/>
          <w:b/>
          <w:sz w:val="22"/>
          <w:szCs w:val="22"/>
        </w:rPr>
      </w:pPr>
      <w:r>
        <w:rPr>
          <w:rFonts w:ascii="宋体" w:hAnsi="宋体" w:hint="eastAsia"/>
          <w:b/>
          <w:sz w:val="22"/>
          <w:szCs w:val="22"/>
        </w:rPr>
        <w:t>三、</w:t>
      </w:r>
      <w:r>
        <w:rPr>
          <w:rFonts w:ascii="宋体" w:hAnsi="宋体" w:cs="仿宋" w:hint="eastAsia"/>
          <w:b/>
          <w:sz w:val="22"/>
          <w:szCs w:val="22"/>
        </w:rPr>
        <w:t>本人确认上述信息的真实、准确和完整，且当这些信息发生变更时，将在</w:t>
      </w:r>
      <w:r>
        <w:rPr>
          <w:rFonts w:ascii="宋体" w:hAnsi="宋体" w:cs="仿宋" w:hint="eastAsia"/>
          <w:b/>
          <w:sz w:val="22"/>
          <w:szCs w:val="22"/>
        </w:rPr>
        <w:t>30</w:t>
      </w:r>
      <w:r>
        <w:rPr>
          <w:rFonts w:ascii="宋体" w:hAnsi="宋体" w:cs="仿宋" w:hint="eastAsia"/>
          <w:b/>
          <w:sz w:val="22"/>
          <w:szCs w:val="22"/>
        </w:rPr>
        <w:t>日内通知贵机构，否则本人承担由此造成的不利后果。</w:t>
      </w:r>
    </w:p>
    <w:p w:rsidR="00066166" w:rsidRDefault="00066166">
      <w:pPr>
        <w:spacing w:line="480" w:lineRule="auto"/>
        <w:rPr>
          <w:rFonts w:ascii="宋体" w:hAnsi="宋体"/>
          <w:sz w:val="22"/>
          <w:szCs w:val="22"/>
        </w:rPr>
      </w:pPr>
    </w:p>
    <w:p w:rsidR="00066166" w:rsidRDefault="00F62BD0">
      <w:pPr>
        <w:spacing w:line="480" w:lineRule="auto"/>
        <w:jc w:val="left"/>
        <w:rPr>
          <w:rFonts w:ascii="宋体" w:hAnsi="宋体"/>
          <w:sz w:val="22"/>
          <w:szCs w:val="22"/>
        </w:rPr>
      </w:pPr>
      <w:r>
        <w:rPr>
          <w:rFonts w:ascii="宋体" w:hAnsi="宋体" w:cs="仿宋" w:hint="eastAsia"/>
          <w:sz w:val="22"/>
          <w:szCs w:val="22"/>
        </w:rPr>
        <w:t>签名：</w:t>
      </w:r>
      <w:r>
        <w:rPr>
          <w:rFonts w:ascii="宋体" w:hAnsi="宋体" w:cs="仿宋" w:hint="eastAsia"/>
          <w:sz w:val="22"/>
          <w:szCs w:val="22"/>
        </w:rPr>
        <w:t xml:space="preserve">                                      </w:t>
      </w:r>
      <w:r>
        <w:rPr>
          <w:rFonts w:ascii="宋体" w:hAnsi="宋体" w:cs="仿宋" w:hint="eastAsia"/>
          <w:sz w:val="22"/>
          <w:szCs w:val="22"/>
        </w:rPr>
        <w:t>日期：</w:t>
      </w:r>
    </w:p>
    <w:p w:rsidR="00066166" w:rsidRDefault="00F62BD0">
      <w:pPr>
        <w:spacing w:line="480" w:lineRule="auto"/>
        <w:rPr>
          <w:rFonts w:ascii="宋体" w:hAnsi="宋体"/>
          <w:kern w:val="0"/>
          <w:sz w:val="22"/>
          <w:szCs w:val="22"/>
          <w:lang w:val="en-GB"/>
        </w:rPr>
      </w:pPr>
      <w:r>
        <w:rPr>
          <w:rFonts w:ascii="宋体" w:hAnsi="宋体" w:cs="仿宋" w:hint="eastAsia"/>
          <w:kern w:val="0"/>
          <w:sz w:val="22"/>
          <w:szCs w:val="22"/>
          <w:lang w:val="en-GB"/>
        </w:rPr>
        <w:t>签名人身份：</w:t>
      </w:r>
      <w:r>
        <w:rPr>
          <w:rFonts w:ascii="宋体" w:hAnsi="宋体" w:cs="仿宋" w:hint="eastAsia"/>
          <w:sz w:val="22"/>
          <w:szCs w:val="22"/>
        </w:rPr>
        <w:t>□</w:t>
      </w:r>
      <w:r>
        <w:rPr>
          <w:rFonts w:ascii="宋体" w:hAnsi="宋体" w:cs="仿宋" w:hint="eastAsia"/>
          <w:sz w:val="22"/>
          <w:szCs w:val="22"/>
        </w:rPr>
        <w:t xml:space="preserve"> </w:t>
      </w:r>
      <w:r>
        <w:rPr>
          <w:rFonts w:ascii="宋体" w:hAnsi="宋体" w:cs="仿宋" w:hint="eastAsia"/>
          <w:sz w:val="22"/>
          <w:szCs w:val="22"/>
        </w:rPr>
        <w:t>本人</w:t>
      </w:r>
      <w:r>
        <w:rPr>
          <w:rFonts w:ascii="宋体" w:hAnsi="宋体" w:cs="仿宋" w:hint="eastAsia"/>
          <w:sz w:val="22"/>
          <w:szCs w:val="22"/>
        </w:rPr>
        <w:t xml:space="preserve">    </w:t>
      </w:r>
      <w:r>
        <w:rPr>
          <w:rFonts w:ascii="宋体" w:hAnsi="宋体" w:cs="仿宋" w:hint="eastAsia"/>
          <w:sz w:val="22"/>
          <w:szCs w:val="22"/>
        </w:rPr>
        <w:t>□</w:t>
      </w:r>
      <w:r>
        <w:rPr>
          <w:rFonts w:ascii="宋体" w:hAnsi="宋体" w:cs="仿宋" w:hint="eastAsia"/>
          <w:sz w:val="22"/>
          <w:szCs w:val="22"/>
        </w:rPr>
        <w:t xml:space="preserve"> </w:t>
      </w:r>
      <w:r>
        <w:rPr>
          <w:rFonts w:ascii="宋体" w:hAnsi="宋体" w:cs="仿宋" w:hint="eastAsia"/>
          <w:sz w:val="22"/>
          <w:szCs w:val="22"/>
        </w:rPr>
        <w:t>机构授权人</w:t>
      </w:r>
      <w:r>
        <w:rPr>
          <w:rFonts w:ascii="宋体" w:hAnsi="宋体" w:cs="仿宋" w:hint="eastAsia"/>
          <w:sz w:val="22"/>
          <w:szCs w:val="22"/>
        </w:rPr>
        <w:t xml:space="preserve">  </w:t>
      </w:r>
    </w:p>
    <w:p w:rsidR="00066166" w:rsidRDefault="00066166">
      <w:pPr>
        <w:spacing w:line="480" w:lineRule="auto"/>
        <w:jc w:val="left"/>
        <w:rPr>
          <w:rFonts w:ascii="宋体" w:hAnsi="宋体" w:cs="仿宋"/>
          <w:kern w:val="0"/>
          <w:sz w:val="22"/>
          <w:szCs w:val="22"/>
          <w:lang w:val="en-GB"/>
        </w:rPr>
      </w:pPr>
    </w:p>
    <w:p w:rsidR="00066166" w:rsidRDefault="00F62BD0">
      <w:pPr>
        <w:spacing w:line="480" w:lineRule="auto"/>
        <w:jc w:val="left"/>
        <w:rPr>
          <w:rFonts w:ascii="宋体" w:hAnsi="宋体" w:cs="仿宋"/>
          <w:kern w:val="0"/>
          <w:sz w:val="22"/>
          <w:szCs w:val="22"/>
          <w:lang w:val="en-GB"/>
        </w:rPr>
      </w:pPr>
      <w:r>
        <w:rPr>
          <w:rFonts w:ascii="宋体" w:hAnsi="宋体" w:cs="仿宋" w:hint="eastAsia"/>
          <w:kern w:val="0"/>
          <w:sz w:val="22"/>
          <w:szCs w:val="22"/>
          <w:lang w:val="en-GB"/>
        </w:rPr>
        <w:t>以下为声明审查人员填写：</w:t>
      </w:r>
    </w:p>
    <w:p w:rsidR="00066166" w:rsidRDefault="00F62BD0">
      <w:pPr>
        <w:spacing w:line="480" w:lineRule="auto"/>
        <w:ind w:leftChars="200" w:left="420"/>
        <w:jc w:val="left"/>
        <w:rPr>
          <w:rFonts w:ascii="宋体" w:hAnsi="宋体" w:cs="仿宋"/>
          <w:kern w:val="0"/>
          <w:sz w:val="22"/>
          <w:szCs w:val="22"/>
          <w:lang w:val="en-GB"/>
        </w:rPr>
      </w:pPr>
      <w:r>
        <w:rPr>
          <w:rFonts w:ascii="宋体" w:hAnsi="宋体" w:cs="仿宋" w:hint="eastAsia"/>
          <w:kern w:val="0"/>
          <w:sz w:val="22"/>
          <w:szCs w:val="22"/>
          <w:lang w:val="en-GB"/>
        </w:rPr>
        <w:t>审核资料：</w:t>
      </w:r>
    </w:p>
    <w:p w:rsidR="00066166" w:rsidRDefault="00F62BD0">
      <w:pPr>
        <w:spacing w:line="480" w:lineRule="auto"/>
        <w:ind w:leftChars="300" w:left="630"/>
        <w:jc w:val="left"/>
        <w:rPr>
          <w:rFonts w:ascii="宋体" w:hAnsi="宋体" w:cs="仿宋"/>
          <w:kern w:val="0"/>
          <w:sz w:val="22"/>
          <w:szCs w:val="22"/>
          <w:lang w:val="en-GB"/>
        </w:rPr>
      </w:pPr>
      <w:r>
        <w:rPr>
          <w:rFonts w:ascii="宋体" w:hAnsi="宋体" w:cs="仿宋" w:hint="eastAsia"/>
          <w:kern w:val="0"/>
          <w:sz w:val="22"/>
          <w:szCs w:val="22"/>
          <w:lang w:val="en-GB"/>
        </w:rPr>
        <w:t>□申请人填妥声明文件内容</w:t>
      </w:r>
    </w:p>
    <w:p w:rsidR="00066166" w:rsidRDefault="00F62BD0">
      <w:pPr>
        <w:spacing w:line="480" w:lineRule="auto"/>
        <w:ind w:leftChars="300" w:left="630"/>
        <w:jc w:val="left"/>
        <w:rPr>
          <w:rFonts w:ascii="宋体" w:hAnsi="宋体" w:cs="仿宋"/>
          <w:kern w:val="0"/>
          <w:sz w:val="22"/>
          <w:szCs w:val="22"/>
          <w:lang w:val="en-GB"/>
        </w:rPr>
      </w:pPr>
      <w:r>
        <w:rPr>
          <w:rFonts w:ascii="宋体" w:hAnsi="宋体" w:cs="仿宋" w:hint="eastAsia"/>
          <w:kern w:val="0"/>
          <w:sz w:val="22"/>
          <w:szCs w:val="22"/>
          <w:lang w:val="en-GB"/>
        </w:rPr>
        <w:t>□合理性证明文件</w:t>
      </w:r>
    </w:p>
    <w:p w:rsidR="00066166" w:rsidRDefault="00F62BD0">
      <w:pPr>
        <w:spacing w:line="480" w:lineRule="auto"/>
        <w:jc w:val="left"/>
        <w:rPr>
          <w:rFonts w:ascii="宋体" w:hAnsi="宋体" w:cs="仿宋"/>
          <w:kern w:val="0"/>
          <w:sz w:val="22"/>
          <w:szCs w:val="22"/>
          <w:lang w:val="en-GB"/>
        </w:rPr>
      </w:pPr>
      <w:r>
        <w:rPr>
          <w:rFonts w:ascii="宋体" w:hAnsi="宋体" w:cs="仿宋" w:hint="eastAsia"/>
          <w:kern w:val="0"/>
          <w:sz w:val="22"/>
          <w:szCs w:val="22"/>
          <w:lang w:val="en-GB"/>
        </w:rPr>
        <w:t>经办人（审核）：</w:t>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负责人（复核）：</w:t>
      </w:r>
    </w:p>
    <w:p w:rsidR="00066166" w:rsidRDefault="00F62BD0">
      <w:pPr>
        <w:spacing w:line="240" w:lineRule="exact"/>
        <w:ind w:rightChars="-501" w:right="-1052"/>
      </w:pPr>
      <w:r>
        <w:rPr>
          <w:rFonts w:ascii="宋体" w:hAnsi="宋体" w:cs="仿宋" w:hint="eastAsia"/>
          <w:kern w:val="0"/>
          <w:sz w:val="22"/>
          <w:szCs w:val="22"/>
          <w:lang w:val="en-GB"/>
        </w:rPr>
        <w:t>日期：</w:t>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日期：</w:t>
      </w:r>
    </w:p>
    <w:p w:rsidR="00066166" w:rsidRDefault="00066166">
      <w:pPr>
        <w:spacing w:line="240" w:lineRule="atLeast"/>
        <w:rPr>
          <w:rFonts w:eastAsia="楷体_GB2312"/>
          <w:b/>
          <w:color w:val="000000" w:themeColor="text1"/>
          <w:sz w:val="24"/>
        </w:rPr>
      </w:pPr>
    </w:p>
    <w:p w:rsidR="00066166" w:rsidRDefault="00F62BD0">
      <w:pPr>
        <w:spacing w:before="50" w:afterLines="50" w:after="156" w:line="240" w:lineRule="atLeast"/>
        <w:outlineLvl w:val="0"/>
        <w:rPr>
          <w:b/>
          <w:bCs/>
          <w:color w:val="000000" w:themeColor="text1"/>
        </w:rPr>
      </w:pPr>
      <w:r>
        <w:rPr>
          <w:rFonts w:eastAsia="楷体_GB2312"/>
          <w:b/>
          <w:bCs/>
          <w:color w:val="000000" w:themeColor="text1"/>
          <w:sz w:val="24"/>
        </w:rPr>
        <w:br w:type="page"/>
      </w:r>
      <w:bookmarkStart w:id="381" w:name="_Toc59631235"/>
      <w:bookmarkStart w:id="382" w:name="_Toc91143632"/>
      <w:r>
        <w:rPr>
          <w:rFonts w:eastAsia="楷体_GB2312" w:hint="eastAsia"/>
          <w:b/>
          <w:bCs/>
          <w:color w:val="000000" w:themeColor="text1"/>
          <w:sz w:val="24"/>
        </w:rPr>
        <w:t>附件六：《申购申请表》（样本）</w:t>
      </w:r>
      <w:bookmarkEnd w:id="381"/>
      <w:bookmarkEnd w:id="382"/>
    </w:p>
    <w:p w:rsidR="00066166" w:rsidRDefault="00066166">
      <w:pPr>
        <w:spacing w:line="240" w:lineRule="atLeast"/>
        <w:jc w:val="center"/>
        <w:rPr>
          <w:b/>
          <w:color w:val="000000" w:themeColor="text1"/>
        </w:rPr>
      </w:pPr>
    </w:p>
    <w:p w:rsidR="00066166" w:rsidRDefault="00F62BD0">
      <w:pPr>
        <w:spacing w:line="240" w:lineRule="atLeast"/>
        <w:jc w:val="center"/>
        <w:rPr>
          <w:rFonts w:eastAsia="楷体_GB2312"/>
          <w:b/>
          <w:color w:val="000000" w:themeColor="text1"/>
          <w:sz w:val="24"/>
        </w:rPr>
      </w:pPr>
      <w:r>
        <w:rPr>
          <w:rFonts w:eastAsia="楷体_GB2312" w:hint="eastAsia"/>
          <w:b/>
          <w:color w:val="000000" w:themeColor="text1"/>
          <w:sz w:val="24"/>
        </w:rPr>
        <w:t>五矿信托磐石系列</w:t>
      </w:r>
      <w:r>
        <w:rPr>
          <w:rFonts w:eastAsia="楷体_GB2312" w:hint="eastAsia"/>
          <w:b/>
          <w:color w:val="000000" w:themeColor="text1"/>
          <w:sz w:val="24"/>
        </w:rPr>
        <w:t>-</w:t>
      </w:r>
      <w:r>
        <w:rPr>
          <w:rFonts w:eastAsia="楷体_GB2312" w:hint="eastAsia"/>
          <w:b/>
          <w:color w:val="000000" w:themeColor="text1"/>
          <w:sz w:val="24"/>
        </w:rPr>
        <w:t>建盈稳冀</w:t>
      </w:r>
      <w:r>
        <w:rPr>
          <w:rFonts w:eastAsia="楷体_GB2312" w:hint="eastAsia"/>
          <w:b/>
          <w:color w:val="000000" w:themeColor="text1"/>
          <w:sz w:val="24"/>
        </w:rPr>
        <w:t>2</w:t>
      </w:r>
      <w:r>
        <w:rPr>
          <w:rFonts w:eastAsia="楷体_GB2312" w:hint="eastAsia"/>
          <w:b/>
          <w:color w:val="000000" w:themeColor="text1"/>
          <w:sz w:val="24"/>
        </w:rPr>
        <w:t>号</w:t>
      </w:r>
      <w:r>
        <w:rPr>
          <w:rFonts w:eastAsia="楷体_GB2312" w:hint="eastAsia"/>
          <w:b/>
          <w:color w:val="000000" w:themeColor="text1"/>
          <w:sz w:val="24"/>
        </w:rPr>
        <w:t>集合资金信托计划</w:t>
      </w:r>
    </w:p>
    <w:p w:rsidR="00066166" w:rsidRDefault="00F62BD0">
      <w:pPr>
        <w:spacing w:line="240" w:lineRule="atLeast"/>
        <w:jc w:val="center"/>
        <w:rPr>
          <w:rFonts w:eastAsia="楷体_GB2312"/>
          <w:b/>
          <w:color w:val="000000" w:themeColor="text1"/>
          <w:sz w:val="24"/>
        </w:rPr>
      </w:pPr>
      <w:r>
        <w:rPr>
          <w:rFonts w:eastAsia="楷体_GB2312" w:hint="eastAsia"/>
          <w:b/>
          <w:color w:val="000000" w:themeColor="text1"/>
          <w:sz w:val="24"/>
        </w:rPr>
        <w:t>申购申请表</w:t>
      </w:r>
    </w:p>
    <w:p w:rsidR="00066166" w:rsidRDefault="00066166">
      <w:pPr>
        <w:spacing w:line="240" w:lineRule="atLeast"/>
        <w:jc w:val="center"/>
        <w:rPr>
          <w:rFonts w:eastAsia="楷体_GB2312"/>
          <w:color w:val="000000" w:themeColor="text1"/>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709"/>
        <w:gridCol w:w="1743"/>
        <w:gridCol w:w="1116"/>
        <w:gridCol w:w="2669"/>
      </w:tblGrid>
      <w:tr w:rsidR="00066166">
        <w:trPr>
          <w:cantSplit/>
          <w:trHeight w:val="696"/>
        </w:trPr>
        <w:tc>
          <w:tcPr>
            <w:tcW w:w="1135" w:type="dxa"/>
            <w:vMerge w:val="restart"/>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委</w:t>
            </w:r>
          </w:p>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托</w:t>
            </w:r>
          </w:p>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人</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自然人姓名</w:t>
            </w:r>
            <w:r>
              <w:rPr>
                <w:rFonts w:eastAsia="楷体_GB2312"/>
                <w:color w:val="000000" w:themeColor="text1"/>
                <w:kern w:val="0"/>
              </w:rPr>
              <w:t>/</w:t>
            </w:r>
          </w:p>
          <w:p w:rsidR="00066166" w:rsidRDefault="00F62BD0">
            <w:pPr>
              <w:spacing w:line="240" w:lineRule="atLeast"/>
              <w:rPr>
                <w:rFonts w:eastAsia="楷体_GB2312"/>
                <w:color w:val="000000" w:themeColor="text1"/>
                <w:kern w:val="0"/>
              </w:rPr>
            </w:pPr>
            <w:r>
              <w:rPr>
                <w:rFonts w:eastAsia="楷体_GB2312"/>
                <w:color w:val="000000" w:themeColor="text1"/>
                <w:kern w:val="0"/>
              </w:rPr>
              <w:t>法人</w:t>
            </w:r>
            <w:r>
              <w:rPr>
                <w:rFonts w:eastAsia="楷体_GB2312" w:hint="eastAsia"/>
                <w:color w:val="000000" w:themeColor="text1"/>
                <w:kern w:val="0"/>
              </w:rPr>
              <w:t>或非法人组织</w:t>
            </w:r>
            <w:r>
              <w:rPr>
                <w:rFonts w:eastAsia="楷体_GB2312"/>
                <w:color w:val="000000" w:themeColor="text1"/>
                <w:kern w:val="0"/>
              </w:rPr>
              <w:t>名称</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96"/>
        </w:trPr>
        <w:tc>
          <w:tcPr>
            <w:tcW w:w="1135" w:type="dxa"/>
            <w:vMerge/>
            <w:vAlign w:val="center"/>
          </w:tcPr>
          <w:p w:rsidR="00066166" w:rsidRDefault="00066166">
            <w:pPr>
              <w:spacing w:line="240" w:lineRule="atLeast"/>
              <w:jc w:val="center"/>
              <w:rPr>
                <w:rFonts w:eastAsia="楷体_GB2312"/>
                <w:color w:val="000000" w:themeColor="text1"/>
                <w:kern w:val="0"/>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证件类型</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066166">
        <w:trPr>
          <w:cantSplit/>
          <w:trHeight w:val="696"/>
        </w:trPr>
        <w:tc>
          <w:tcPr>
            <w:tcW w:w="1135" w:type="dxa"/>
            <w:vMerge w:val="restart"/>
            <w:vAlign w:val="center"/>
          </w:tcPr>
          <w:p w:rsidR="00066166" w:rsidRDefault="00066166">
            <w:pPr>
              <w:spacing w:line="240" w:lineRule="atLeast"/>
              <w:jc w:val="center"/>
              <w:rPr>
                <w:rFonts w:eastAsia="楷体_GB2312"/>
                <w:color w:val="000000" w:themeColor="text1"/>
                <w:kern w:val="0"/>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证件号码</w:t>
            </w:r>
          </w:p>
        </w:tc>
        <w:tc>
          <w:tcPr>
            <w:tcW w:w="6237" w:type="dxa"/>
            <w:gridSpan w:val="4"/>
            <w:vAlign w:val="center"/>
          </w:tcPr>
          <w:p w:rsidR="00066166" w:rsidRDefault="00066166">
            <w:pPr>
              <w:spacing w:line="240" w:lineRule="atLeast"/>
              <w:rPr>
                <w:rFonts w:eastAsia="楷体_GB2312"/>
                <w:color w:val="000000" w:themeColor="text1"/>
                <w:kern w:val="0"/>
                <w:sz w:val="32"/>
              </w:rPr>
            </w:pPr>
          </w:p>
        </w:tc>
      </w:tr>
      <w:tr w:rsidR="00066166">
        <w:trPr>
          <w:cantSplit/>
          <w:trHeight w:val="636"/>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restart"/>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 w:val="18"/>
                <w:szCs w:val="18"/>
              </w:rPr>
              <w:t>法人或非法人组织的法定代表人</w:t>
            </w:r>
            <w:r>
              <w:rPr>
                <w:rFonts w:eastAsia="楷体_GB2312" w:hint="eastAsia"/>
                <w:color w:val="000000" w:themeColor="text1"/>
                <w:kern w:val="0"/>
                <w:sz w:val="18"/>
                <w:szCs w:val="18"/>
              </w:rPr>
              <w:t>/</w:t>
            </w:r>
            <w:r>
              <w:rPr>
                <w:rFonts w:eastAsia="楷体_GB2312" w:hint="eastAsia"/>
                <w:color w:val="000000" w:themeColor="text1"/>
                <w:kern w:val="0"/>
                <w:sz w:val="18"/>
                <w:szCs w:val="18"/>
              </w:rPr>
              <w:t>负责人</w:t>
            </w:r>
            <w:r>
              <w:rPr>
                <w:rFonts w:eastAsia="楷体_GB2312" w:hint="eastAsia"/>
                <w:color w:val="000000" w:themeColor="text1"/>
                <w:kern w:val="0"/>
                <w:sz w:val="18"/>
                <w:szCs w:val="18"/>
              </w:rPr>
              <w:t>/</w:t>
            </w:r>
            <w:r>
              <w:rPr>
                <w:rFonts w:eastAsia="楷体_GB2312" w:hint="eastAsia"/>
                <w:color w:val="000000" w:themeColor="text1"/>
                <w:kern w:val="0"/>
                <w:sz w:val="18"/>
                <w:szCs w:val="18"/>
              </w:rPr>
              <w:t>管理人</w:t>
            </w:r>
            <w:r>
              <w:rPr>
                <w:rFonts w:eastAsia="楷体_GB2312" w:hint="eastAsia"/>
                <w:color w:val="000000" w:themeColor="text1"/>
                <w:kern w:val="0"/>
                <w:sz w:val="18"/>
                <w:szCs w:val="18"/>
              </w:rPr>
              <w:t>/</w:t>
            </w:r>
            <w:r>
              <w:rPr>
                <w:rFonts w:eastAsia="楷体_GB2312" w:hint="eastAsia"/>
                <w:color w:val="000000" w:themeColor="text1"/>
                <w:kern w:val="0"/>
                <w:sz w:val="18"/>
                <w:szCs w:val="18"/>
              </w:rPr>
              <w:t>执行事务合伙人委派代表或委托人的授权代表</w:t>
            </w: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姓名</w:t>
            </w:r>
          </w:p>
        </w:tc>
        <w:tc>
          <w:tcPr>
            <w:tcW w:w="5528" w:type="dxa"/>
            <w:gridSpan w:val="3"/>
            <w:vAlign w:val="bottom"/>
          </w:tcPr>
          <w:p w:rsidR="00066166" w:rsidRDefault="00066166">
            <w:pPr>
              <w:spacing w:line="240" w:lineRule="atLeast"/>
              <w:rPr>
                <w:rFonts w:eastAsia="楷体_GB2312"/>
                <w:color w:val="000000" w:themeColor="text1"/>
                <w:kern w:val="0"/>
              </w:rPr>
            </w:pPr>
          </w:p>
        </w:tc>
      </w:tr>
      <w:tr w:rsidR="00066166">
        <w:trPr>
          <w:cantSplit/>
          <w:trHeight w:val="702"/>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ign w:val="bottom"/>
          </w:tcPr>
          <w:p w:rsidR="00066166" w:rsidRDefault="00066166">
            <w:pPr>
              <w:spacing w:line="240" w:lineRule="atLeast"/>
              <w:rPr>
                <w:rFonts w:eastAsia="楷体_GB2312"/>
                <w:b/>
                <w:color w:val="000000" w:themeColor="text1"/>
                <w:kern w:val="0"/>
                <w:sz w:val="44"/>
              </w:rPr>
            </w:pP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hint="eastAsia"/>
                <w:color w:val="000000" w:themeColor="text1"/>
                <w:kern w:val="0"/>
              </w:rPr>
              <w:t>证件类型</w:t>
            </w:r>
          </w:p>
        </w:tc>
        <w:tc>
          <w:tcPr>
            <w:tcW w:w="5528" w:type="dxa"/>
            <w:gridSpan w:val="3"/>
            <w:vAlign w:val="bottom"/>
          </w:tcPr>
          <w:p w:rsidR="00066166" w:rsidRDefault="00F62BD0">
            <w:pPr>
              <w:spacing w:line="240" w:lineRule="atLeast"/>
              <w:rPr>
                <w:rFonts w:eastAsia="楷体_GB2312"/>
                <w:color w:val="000000" w:themeColor="text1"/>
                <w:kern w:val="0"/>
                <w:sz w:val="24"/>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066166">
        <w:trPr>
          <w:cantSplit/>
          <w:trHeight w:val="702"/>
        </w:trPr>
        <w:tc>
          <w:tcPr>
            <w:tcW w:w="1135" w:type="dxa"/>
            <w:vMerge/>
          </w:tcPr>
          <w:p w:rsidR="00066166" w:rsidRDefault="00066166">
            <w:pPr>
              <w:spacing w:line="240" w:lineRule="atLeast"/>
              <w:rPr>
                <w:rFonts w:eastAsia="楷体_GB2312"/>
                <w:b/>
                <w:color w:val="000000" w:themeColor="text1"/>
                <w:kern w:val="0"/>
                <w:sz w:val="44"/>
              </w:rPr>
            </w:pPr>
          </w:p>
        </w:tc>
        <w:tc>
          <w:tcPr>
            <w:tcW w:w="1843" w:type="dxa"/>
            <w:vMerge/>
            <w:vAlign w:val="bottom"/>
          </w:tcPr>
          <w:p w:rsidR="00066166" w:rsidRDefault="00066166">
            <w:pPr>
              <w:spacing w:line="240" w:lineRule="atLeast"/>
              <w:rPr>
                <w:rFonts w:eastAsia="楷体_GB2312"/>
                <w:b/>
                <w:color w:val="000000" w:themeColor="text1"/>
                <w:kern w:val="0"/>
                <w:sz w:val="44"/>
              </w:rPr>
            </w:pPr>
          </w:p>
        </w:tc>
        <w:tc>
          <w:tcPr>
            <w:tcW w:w="709" w:type="dxa"/>
            <w:vAlign w:val="center"/>
          </w:tcPr>
          <w:p w:rsidR="00066166" w:rsidRDefault="00F62BD0">
            <w:pPr>
              <w:spacing w:line="240" w:lineRule="atLeast"/>
              <w:jc w:val="center"/>
              <w:rPr>
                <w:rFonts w:eastAsia="楷体_GB2312"/>
                <w:color w:val="000000" w:themeColor="text1"/>
                <w:kern w:val="0"/>
              </w:rPr>
            </w:pPr>
            <w:r>
              <w:rPr>
                <w:rFonts w:eastAsia="楷体_GB2312" w:hint="eastAsia"/>
                <w:color w:val="000000" w:themeColor="text1"/>
                <w:kern w:val="0"/>
              </w:rPr>
              <w:t>证件号码</w:t>
            </w:r>
          </w:p>
        </w:tc>
        <w:tc>
          <w:tcPr>
            <w:tcW w:w="5528" w:type="dxa"/>
            <w:gridSpan w:val="3"/>
            <w:vAlign w:val="bottom"/>
          </w:tcPr>
          <w:p w:rsidR="00066166" w:rsidRDefault="00066166">
            <w:pPr>
              <w:spacing w:line="240" w:lineRule="atLeast"/>
              <w:rPr>
                <w:rFonts w:eastAsia="楷体_GB2312"/>
                <w:color w:val="000000" w:themeColor="text1"/>
                <w:kern w:val="0"/>
                <w:sz w:val="24"/>
              </w:rPr>
            </w:pPr>
          </w:p>
        </w:tc>
      </w:tr>
      <w:tr w:rsidR="00066166">
        <w:trPr>
          <w:cantSplit/>
          <w:trHeight w:val="568"/>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通讯地址</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95"/>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邮政编码</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联系人</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704"/>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联系电话</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手机</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697"/>
        </w:trPr>
        <w:tc>
          <w:tcPr>
            <w:tcW w:w="1135" w:type="dxa"/>
            <w:vMerge/>
          </w:tcPr>
          <w:p w:rsidR="00066166" w:rsidRDefault="00066166">
            <w:pPr>
              <w:spacing w:line="240" w:lineRule="atLeast"/>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传真</w:t>
            </w:r>
          </w:p>
        </w:tc>
        <w:tc>
          <w:tcPr>
            <w:tcW w:w="2452" w:type="dxa"/>
            <w:gridSpan w:val="2"/>
            <w:vAlign w:val="center"/>
          </w:tcPr>
          <w:p w:rsidR="00066166" w:rsidRDefault="00066166">
            <w:pPr>
              <w:spacing w:line="240" w:lineRule="atLeast"/>
              <w:rPr>
                <w:rFonts w:eastAsia="楷体_GB2312"/>
                <w:color w:val="000000" w:themeColor="text1"/>
                <w:kern w:val="0"/>
              </w:rPr>
            </w:pPr>
          </w:p>
        </w:tc>
        <w:tc>
          <w:tcPr>
            <w:tcW w:w="1116"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电子信箱</w:t>
            </w:r>
          </w:p>
        </w:tc>
        <w:tc>
          <w:tcPr>
            <w:tcW w:w="2669" w:type="dxa"/>
            <w:vAlign w:val="center"/>
          </w:tcPr>
          <w:p w:rsidR="00066166" w:rsidRDefault="00066166">
            <w:pPr>
              <w:spacing w:line="240" w:lineRule="atLeast"/>
              <w:rPr>
                <w:rFonts w:eastAsia="楷体_GB2312"/>
                <w:color w:val="000000" w:themeColor="text1"/>
                <w:kern w:val="0"/>
              </w:rPr>
            </w:pPr>
          </w:p>
        </w:tc>
      </w:tr>
      <w:tr w:rsidR="00066166">
        <w:trPr>
          <w:cantSplit/>
          <w:trHeight w:val="704"/>
        </w:trPr>
        <w:tc>
          <w:tcPr>
            <w:tcW w:w="2978" w:type="dxa"/>
            <w:gridSpan w:val="2"/>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受益人</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受益人与委托人为同一人。</w:t>
            </w:r>
          </w:p>
        </w:tc>
      </w:tr>
      <w:tr w:rsidR="00066166">
        <w:trPr>
          <w:cantSplit/>
          <w:trHeight w:val="704"/>
        </w:trPr>
        <w:tc>
          <w:tcPr>
            <w:tcW w:w="2978" w:type="dxa"/>
            <w:gridSpan w:val="2"/>
            <w:vAlign w:val="center"/>
          </w:tcPr>
          <w:p w:rsidR="00066166" w:rsidRDefault="00F62BD0">
            <w:pPr>
              <w:spacing w:line="240" w:lineRule="atLeast"/>
              <w:jc w:val="center"/>
              <w:rPr>
                <w:rFonts w:eastAsia="楷体_GB2312"/>
                <w:color w:val="000000" w:themeColor="text1"/>
                <w:kern w:val="0"/>
              </w:rPr>
            </w:pPr>
            <w:r>
              <w:rPr>
                <w:rFonts w:eastAsia="楷体_GB2312" w:hint="eastAsia"/>
                <w:color w:val="000000" w:themeColor="text1"/>
                <w:kern w:val="0"/>
              </w:rPr>
              <w:t>支付方式</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Cs w:val="21"/>
              </w:rPr>
              <w:t>【</w:t>
            </w:r>
            <w:r>
              <w:rPr>
                <w:rFonts w:eastAsia="楷体_GB2312" w:hint="eastAsia"/>
                <w:color w:val="000000" w:themeColor="text1"/>
                <w:kern w:val="0"/>
                <w:szCs w:val="21"/>
              </w:rPr>
              <w:t>POS</w:t>
            </w:r>
            <w:r>
              <w:rPr>
                <w:rFonts w:eastAsia="楷体_GB2312" w:hint="eastAsia"/>
                <w:color w:val="000000" w:themeColor="text1"/>
                <w:kern w:val="0"/>
                <w:szCs w:val="21"/>
              </w:rPr>
              <w:t>划款</w:t>
            </w:r>
            <w:r>
              <w:rPr>
                <w:rFonts w:eastAsia="楷体_GB2312" w:hint="eastAsia"/>
                <w:color w:val="000000" w:themeColor="text1"/>
                <w:kern w:val="0"/>
                <w:szCs w:val="21"/>
              </w:rPr>
              <w:t>/</w:t>
            </w:r>
            <w:r>
              <w:rPr>
                <w:rFonts w:eastAsia="楷体_GB2312" w:hint="eastAsia"/>
                <w:color w:val="000000" w:themeColor="text1"/>
                <w:kern w:val="0"/>
                <w:szCs w:val="21"/>
              </w:rPr>
              <w:t>银行转账】</w:t>
            </w:r>
          </w:p>
        </w:tc>
      </w:tr>
      <w:tr w:rsidR="00066166">
        <w:trPr>
          <w:cantSplit/>
          <w:trHeight w:val="685"/>
        </w:trPr>
        <w:tc>
          <w:tcPr>
            <w:tcW w:w="1135" w:type="dxa"/>
            <w:vMerge w:val="restart"/>
            <w:vAlign w:val="center"/>
          </w:tcPr>
          <w:p w:rsidR="00066166" w:rsidRDefault="00F62BD0">
            <w:pPr>
              <w:spacing w:line="240" w:lineRule="atLeast"/>
              <w:jc w:val="center"/>
              <w:rPr>
                <w:rFonts w:eastAsia="楷体_GB2312"/>
                <w:color w:val="000000" w:themeColor="text1"/>
                <w:kern w:val="0"/>
              </w:rPr>
            </w:pPr>
            <w:r>
              <w:rPr>
                <w:rFonts w:eastAsia="楷体_GB2312"/>
                <w:color w:val="000000" w:themeColor="text1"/>
                <w:kern w:val="0"/>
              </w:rPr>
              <w:t>信托利益分配账户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bottom"/>
          </w:tcPr>
          <w:p w:rsidR="00066166" w:rsidRDefault="00066166">
            <w:pPr>
              <w:spacing w:line="240" w:lineRule="atLeast"/>
              <w:rPr>
                <w:rFonts w:eastAsia="楷体_GB2312"/>
                <w:color w:val="000000" w:themeColor="text1"/>
                <w:kern w:val="0"/>
              </w:rPr>
            </w:pPr>
          </w:p>
        </w:tc>
      </w:tr>
      <w:tr w:rsidR="00066166">
        <w:trPr>
          <w:cantSplit/>
          <w:trHeight w:val="714"/>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F62BD0">
            <w:pPr>
              <w:spacing w:line="240" w:lineRule="atLeast"/>
              <w:ind w:leftChars="251" w:left="527"/>
              <w:jc w:val="center"/>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066166">
        <w:trPr>
          <w:cantSplit/>
          <w:trHeight w:val="673"/>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bottom"/>
          </w:tcPr>
          <w:p w:rsidR="00066166" w:rsidRDefault="00066166">
            <w:pPr>
              <w:spacing w:line="240" w:lineRule="atLeast"/>
              <w:rPr>
                <w:rFonts w:eastAsia="楷体_GB2312"/>
                <w:color w:val="000000" w:themeColor="text1"/>
                <w:kern w:val="0"/>
              </w:rPr>
            </w:pPr>
          </w:p>
        </w:tc>
      </w:tr>
      <w:tr w:rsidR="00066166">
        <w:trPr>
          <w:cantSplit/>
          <w:trHeight w:val="673"/>
        </w:trPr>
        <w:tc>
          <w:tcPr>
            <w:tcW w:w="1135" w:type="dxa"/>
            <w:vMerge w:val="restart"/>
            <w:vAlign w:val="center"/>
          </w:tcPr>
          <w:p w:rsidR="00066166" w:rsidRDefault="00F62BD0">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r>
              <w:rPr>
                <w:rFonts w:eastAsia="楷体_GB2312" w:hint="eastAsia"/>
                <w:bCs/>
                <w:color w:val="000000" w:themeColor="text1"/>
                <w:kern w:val="0"/>
                <w:szCs w:val="21"/>
              </w:rPr>
              <w:t>募集账户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五矿国际信托有限公司</w:t>
            </w:r>
          </w:p>
        </w:tc>
      </w:tr>
      <w:tr w:rsidR="00066166">
        <w:trPr>
          <w:cantSplit/>
          <w:trHeight w:val="673"/>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F62BD0">
            <w:pPr>
              <w:spacing w:line="240" w:lineRule="atLeast"/>
              <w:ind w:firstLineChars="800" w:firstLine="1680"/>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066166">
        <w:trPr>
          <w:cantSplit/>
          <w:trHeight w:val="673"/>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73"/>
        </w:trPr>
        <w:tc>
          <w:tcPr>
            <w:tcW w:w="9215" w:type="dxa"/>
            <w:gridSpan w:val="6"/>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sz w:val="18"/>
                <w:szCs w:val="18"/>
              </w:rPr>
              <w:t>当未特别设立募集账户时募集账户信息可不填写。</w:t>
            </w:r>
          </w:p>
        </w:tc>
      </w:tr>
      <w:tr w:rsidR="00066166">
        <w:trPr>
          <w:cantSplit/>
          <w:trHeight w:val="625"/>
        </w:trPr>
        <w:tc>
          <w:tcPr>
            <w:tcW w:w="1135" w:type="dxa"/>
            <w:vMerge w:val="restart"/>
            <w:vAlign w:val="center"/>
          </w:tcPr>
          <w:p w:rsidR="00066166" w:rsidRDefault="00F62BD0">
            <w:pPr>
              <w:keepNext/>
              <w:keepLines/>
              <w:numPr>
                <w:ilvl w:val="2"/>
                <w:numId w:val="0"/>
              </w:numPr>
              <w:tabs>
                <w:tab w:val="left" w:pos="720"/>
              </w:tabs>
              <w:spacing w:line="240" w:lineRule="atLeast"/>
              <w:ind w:left="720" w:hanging="720"/>
              <w:jc w:val="center"/>
              <w:outlineLvl w:val="2"/>
              <w:rPr>
                <w:rFonts w:eastAsia="楷体_GB2312"/>
                <w:bCs/>
                <w:color w:val="000000" w:themeColor="text1"/>
                <w:kern w:val="0"/>
                <w:szCs w:val="21"/>
              </w:rPr>
            </w:pPr>
            <w:r>
              <w:rPr>
                <w:rFonts w:eastAsia="楷体_GB2312" w:hint="eastAsia"/>
                <w:bCs/>
                <w:color w:val="000000" w:themeColor="text1"/>
                <w:kern w:val="0"/>
                <w:szCs w:val="21"/>
              </w:rPr>
              <w:t>信托专户</w:t>
            </w: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625"/>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rsidR="00066166" w:rsidRDefault="00066166">
            <w:pPr>
              <w:spacing w:line="240" w:lineRule="atLeast"/>
              <w:jc w:val="left"/>
              <w:rPr>
                <w:rFonts w:eastAsia="楷体_GB2312"/>
                <w:color w:val="000000" w:themeColor="text1"/>
                <w:kern w:val="0"/>
              </w:rPr>
            </w:pPr>
          </w:p>
        </w:tc>
      </w:tr>
      <w:tr w:rsidR="00066166">
        <w:trPr>
          <w:cantSplit/>
          <w:trHeight w:val="625"/>
        </w:trPr>
        <w:tc>
          <w:tcPr>
            <w:tcW w:w="1135" w:type="dxa"/>
            <w:vMerge/>
            <w:vAlign w:val="center"/>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rsidR="00066166" w:rsidRDefault="00066166">
            <w:pPr>
              <w:spacing w:line="240" w:lineRule="atLeast"/>
              <w:rPr>
                <w:rFonts w:eastAsia="楷体_GB2312"/>
                <w:color w:val="000000" w:themeColor="text1"/>
                <w:kern w:val="0"/>
              </w:rPr>
            </w:pPr>
          </w:p>
        </w:tc>
      </w:tr>
      <w:tr w:rsidR="00066166">
        <w:trPr>
          <w:cantSplit/>
          <w:trHeight w:val="402"/>
        </w:trPr>
        <w:tc>
          <w:tcPr>
            <w:tcW w:w="2978" w:type="dxa"/>
            <w:gridSpan w:val="2"/>
            <w:vAlign w:val="center"/>
          </w:tcPr>
          <w:p w:rsidR="00066166" w:rsidRDefault="00F62BD0">
            <w:pPr>
              <w:spacing w:line="240" w:lineRule="atLeast"/>
              <w:jc w:val="left"/>
              <w:rPr>
                <w:rFonts w:eastAsia="楷体_GB2312"/>
                <w:color w:val="000000" w:themeColor="text1"/>
                <w:kern w:val="0"/>
              </w:rPr>
            </w:pPr>
            <w:r>
              <w:rPr>
                <w:rFonts w:eastAsia="楷体_GB2312" w:hint="eastAsia"/>
                <w:color w:val="000000" w:themeColor="text1"/>
                <w:kern w:val="0"/>
              </w:rPr>
              <w:t>本次申购的开放日</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p>
        </w:tc>
      </w:tr>
      <w:tr w:rsidR="00066166">
        <w:trPr>
          <w:cantSplit/>
          <w:trHeight w:val="516"/>
        </w:trPr>
        <w:tc>
          <w:tcPr>
            <w:tcW w:w="2978" w:type="dxa"/>
            <w:gridSpan w:val="2"/>
            <w:vMerge w:val="restart"/>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申购</w:t>
            </w:r>
            <w:r>
              <w:rPr>
                <w:rFonts w:eastAsia="楷体_GB2312"/>
                <w:color w:val="000000" w:themeColor="text1"/>
                <w:kern w:val="0"/>
              </w:rPr>
              <w:t>资金金额</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（大写）人民币：</w:t>
            </w:r>
            <w:r>
              <w:rPr>
                <w:rFonts w:eastAsia="楷体_GB2312" w:hint="eastAsia"/>
                <w:color w:val="000000" w:themeColor="text1"/>
                <w:kern w:val="0"/>
              </w:rPr>
              <w:t xml:space="preserve">                   </w:t>
            </w:r>
            <w:r>
              <w:rPr>
                <w:rFonts w:eastAsia="楷体_GB2312" w:hint="eastAsia"/>
                <w:color w:val="000000" w:themeColor="text1"/>
                <w:kern w:val="0"/>
              </w:rPr>
              <w:t>万元</w:t>
            </w:r>
          </w:p>
        </w:tc>
      </w:tr>
      <w:tr w:rsidR="00066166">
        <w:trPr>
          <w:cantSplit/>
          <w:trHeight w:val="416"/>
        </w:trPr>
        <w:tc>
          <w:tcPr>
            <w:tcW w:w="2978" w:type="dxa"/>
            <w:gridSpan w:val="2"/>
            <w:vMerge/>
          </w:tcPr>
          <w:p w:rsidR="00066166" w:rsidRDefault="00066166">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color w:val="000000" w:themeColor="text1"/>
                <w:kern w:val="0"/>
              </w:rPr>
              <w:t>（小写）￥：</w:t>
            </w:r>
            <w:r>
              <w:rPr>
                <w:rFonts w:eastAsia="楷体_GB2312" w:hint="eastAsia"/>
                <w:color w:val="000000" w:themeColor="text1"/>
                <w:kern w:val="0"/>
              </w:rPr>
              <w:t xml:space="preserve">                   </w:t>
            </w:r>
            <w:r>
              <w:rPr>
                <w:rFonts w:eastAsia="楷体_GB2312" w:hint="eastAsia"/>
                <w:color w:val="000000" w:themeColor="text1"/>
                <w:kern w:val="0"/>
              </w:rPr>
              <w:t>万元</w:t>
            </w:r>
          </w:p>
        </w:tc>
      </w:tr>
      <w:tr w:rsidR="00066166">
        <w:trPr>
          <w:cantSplit/>
          <w:trHeight w:val="527"/>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申购费率</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0</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kern w:val="0"/>
              </w:rPr>
              <w:t>信托单位赎回方式</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kern w:val="0"/>
              </w:rPr>
              <w:t>自动赎回</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到账截止时间</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r>
              <w:rPr>
                <w:rFonts w:eastAsia="楷体_GB2312" w:hint="eastAsia"/>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w:t>
            </w:r>
            <w:r>
              <w:rPr>
                <w:rFonts w:eastAsia="楷体_GB2312"/>
                <w:color w:val="000000" w:themeColor="text1"/>
                <w:kern w:val="0"/>
              </w:rPr>
              <w:t>:</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00 </w:t>
            </w:r>
            <w:r>
              <w:rPr>
                <w:rFonts w:eastAsia="楷体_GB2312" w:hint="eastAsia"/>
                <w:color w:val="000000" w:themeColor="text1"/>
                <w:kern w:val="0"/>
              </w:rPr>
              <w:t>】前</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浮动报酬计提基准（</w:t>
            </w:r>
            <w:r>
              <w:rPr>
                <w:rFonts w:eastAsia="楷体_GB2312"/>
                <w:color w:val="000000" w:themeColor="text1"/>
                <w:kern w:val="0"/>
              </w:rPr>
              <w:t>R</w:t>
            </w:r>
            <w:r>
              <w:rPr>
                <w:rFonts w:eastAsia="楷体_GB2312" w:hint="eastAsia"/>
                <w:color w:val="000000" w:themeColor="text1"/>
                <w:kern w:val="0"/>
              </w:rPr>
              <w:t>）</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w:t>
            </w:r>
            <w:r>
              <w:rPr>
                <w:rFonts w:eastAsia="楷体_GB2312"/>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w:t>
            </w:r>
          </w:p>
        </w:tc>
      </w:tr>
      <w:tr w:rsidR="00066166">
        <w:trPr>
          <w:cantSplit/>
          <w:trHeight w:val="352"/>
        </w:trPr>
        <w:tc>
          <w:tcPr>
            <w:tcW w:w="2978" w:type="dxa"/>
            <w:gridSpan w:val="2"/>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锁定期</w:t>
            </w:r>
          </w:p>
        </w:tc>
        <w:tc>
          <w:tcPr>
            <w:tcW w:w="6237" w:type="dxa"/>
            <w:gridSpan w:val="4"/>
            <w:vAlign w:val="center"/>
          </w:tcPr>
          <w:p w:rsidR="00066166" w:rsidRDefault="00F62BD0">
            <w:pPr>
              <w:spacing w:line="240" w:lineRule="atLeast"/>
              <w:rPr>
                <w:rFonts w:eastAsia="楷体_GB2312"/>
                <w:color w:val="000000" w:themeColor="text1"/>
                <w:kern w:val="0"/>
              </w:rPr>
            </w:pPr>
            <w:r>
              <w:rPr>
                <w:rFonts w:eastAsia="楷体_GB2312" w:hint="eastAsia"/>
                <w:kern w:val="0"/>
              </w:rPr>
              <w:t>就委托人本次</w:t>
            </w:r>
            <w:r>
              <w:rPr>
                <w:rFonts w:eastAsia="楷体_GB2312" w:hint="eastAsia"/>
                <w:color w:val="000000" w:themeColor="text1"/>
                <w:kern w:val="0"/>
              </w:rPr>
              <w:t>申购的</w:t>
            </w:r>
            <w:r>
              <w:rPr>
                <w:rFonts w:eastAsia="楷体_GB2312" w:hint="eastAsia"/>
                <w:kern w:val="0"/>
              </w:rPr>
              <w:t>信托单位而言，该等信托单位的锁定期指自该等信托单位的申购确认日（含）起至自该日起满</w:t>
            </w:r>
            <w:r>
              <w:rPr>
                <w:rFonts w:eastAsia="楷体_GB2312" w:hint="eastAsia"/>
                <w:kern w:val="0"/>
              </w:rPr>
              <w:t>12</w:t>
            </w:r>
            <w:r>
              <w:rPr>
                <w:rFonts w:eastAsia="楷体_GB2312" w:hint="eastAsia"/>
                <w:kern w:val="0"/>
              </w:rPr>
              <w:t>个月之日（含）止的期间。</w:t>
            </w:r>
          </w:p>
        </w:tc>
      </w:tr>
      <w:tr w:rsidR="00066166">
        <w:trPr>
          <w:cantSplit/>
          <w:trHeight w:val="1104"/>
        </w:trPr>
        <w:tc>
          <w:tcPr>
            <w:tcW w:w="9215" w:type="dxa"/>
            <w:gridSpan w:val="6"/>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信托文件（根据实际情况，包括但不限于《信托合同》、《风险申明书》、《信托计划说明书》（根据实际情况确定）等），即意味着您已经完整阅读信托合同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信托文件的全部内容，并同意以数据电文或纸质签署方式，或受托人认可信托合同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信托文件约定的其他形式订立信托合同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信托文件，且签署</w:t>
            </w:r>
            <w:r>
              <w:rPr>
                <w:rFonts w:eastAsia="楷体_GB2312" w:hint="eastAsia"/>
                <w:color w:val="000000" w:themeColor="text1"/>
                <w:kern w:val="0"/>
              </w:rPr>
              <w:t>/</w:t>
            </w:r>
            <w:r>
              <w:rPr>
                <w:rFonts w:eastAsia="楷体_GB2312" w:hint="eastAsia"/>
                <w:color w:val="000000" w:themeColor="text1"/>
                <w:kern w:val="0"/>
              </w:rPr>
              <w:t>确认后未经受托人书面同意和确认的，您不得单方撤销、撤回或变更已签署文件。通过与受托人签署本《申购申请表》仅视为您单方向受托</w:t>
            </w:r>
            <w:r>
              <w:rPr>
                <w:rFonts w:eastAsia="楷体_GB2312" w:hint="eastAsia"/>
                <w:color w:val="000000" w:themeColor="text1"/>
                <w:kern w:val="0"/>
              </w:rPr>
              <w:t>人提交申购申请，并不代表您已经成功申购相应信托单位，申购结果应以受托人实际通知内容为准。</w:t>
            </w:r>
          </w:p>
        </w:tc>
      </w:tr>
      <w:tr w:rsidR="00066166">
        <w:trPr>
          <w:cantSplit/>
          <w:trHeight w:val="2206"/>
        </w:trPr>
        <w:tc>
          <w:tcPr>
            <w:tcW w:w="9215" w:type="dxa"/>
            <w:gridSpan w:val="6"/>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申请人（委托人）：</w:t>
            </w:r>
          </w:p>
          <w:p w:rsidR="00066166" w:rsidRDefault="00066166">
            <w:pPr>
              <w:spacing w:line="240" w:lineRule="atLeast"/>
              <w:rPr>
                <w:rFonts w:eastAsia="楷体_GB2312"/>
                <w:color w:val="000000" w:themeColor="text1"/>
                <w:kern w:val="0"/>
              </w:rPr>
            </w:pP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自然人签字</w:t>
            </w:r>
            <w:r>
              <w:rPr>
                <w:rFonts w:eastAsia="楷体_GB2312" w:hint="eastAsia"/>
                <w:color w:val="000000" w:themeColor="text1"/>
                <w:kern w:val="0"/>
              </w:rPr>
              <w:t>/</w:t>
            </w:r>
            <w:r>
              <w:rPr>
                <w:rFonts w:eastAsia="楷体_GB2312" w:hint="eastAsia"/>
                <w:color w:val="000000" w:themeColor="text1"/>
                <w:kern w:val="0"/>
              </w:rPr>
              <w:t>法人名称及盖章：</w:t>
            </w:r>
          </w:p>
          <w:p w:rsidR="00066166" w:rsidRDefault="00066166">
            <w:pPr>
              <w:spacing w:line="240" w:lineRule="atLeast"/>
              <w:rPr>
                <w:rFonts w:eastAsia="楷体_GB2312"/>
                <w:color w:val="000000" w:themeColor="text1"/>
                <w:kern w:val="0"/>
              </w:rPr>
            </w:pP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法定代表人或授权代理人</w:t>
            </w: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（签字或盖章）</w:t>
            </w:r>
          </w:p>
        </w:tc>
      </w:tr>
    </w:tbl>
    <w:p w:rsidR="00066166" w:rsidRDefault="00F62BD0">
      <w:pPr>
        <w:rPr>
          <w:b/>
          <w:color w:val="000000" w:themeColor="text1"/>
        </w:rPr>
      </w:pPr>
      <w:r>
        <w:rPr>
          <w:rFonts w:eastAsia="楷体_GB2312" w:hint="eastAsia"/>
          <w:b/>
          <w:sz w:val="24"/>
        </w:rPr>
        <w:t>（</w:t>
      </w:r>
      <w:r>
        <w:rPr>
          <w:rFonts w:eastAsia="楷体_GB2312" w:hint="eastAsia"/>
          <w:b/>
          <w:sz w:val="24"/>
        </w:rPr>
        <w:t>1</w:t>
      </w:r>
      <w:r>
        <w:rPr>
          <w:rFonts w:eastAsia="楷体_GB2312" w:hint="eastAsia"/>
          <w:b/>
          <w:sz w:val="24"/>
        </w:rPr>
        <w:t>）若截至本《申购申请表》载明的到账截止日期，募集账户或信托专户尚未收到等额于本《申购申请表》载明的申购资金金额的款项，则本《申购申请表》自动失效，且受托人、委托人均不承担任何责任，但委托人存在过错的，应赔偿受托人或信托计划因此受到的损失。除因前述情形导致本《申购申请表》自动失效外，本《申购申请表》一经送达受托人，未经受托人同意，不得撤销。</w:t>
      </w:r>
    </w:p>
    <w:p w:rsidR="00066166" w:rsidRDefault="00F62BD0">
      <w:pPr>
        <w:spacing w:before="50" w:afterLines="50" w:after="156" w:line="240" w:lineRule="atLeast"/>
        <w:outlineLvl w:val="0"/>
        <w:rPr>
          <w:rFonts w:ascii="仿宋_GB2312" w:eastAsia="仿宋_GB2312" w:cs="华文仿宋"/>
          <w:b/>
          <w:bCs/>
          <w:color w:val="000000" w:themeColor="text1"/>
        </w:rPr>
      </w:pPr>
      <w:r>
        <w:rPr>
          <w:rFonts w:ascii="仿宋_GB2312" w:eastAsia="仿宋_GB2312" w:cs="华文仿宋"/>
          <w:color w:val="000000" w:themeColor="text1"/>
        </w:rPr>
        <w:br w:type="page"/>
      </w:r>
      <w:bookmarkStart w:id="383" w:name="_Toc91143633"/>
      <w:bookmarkStart w:id="384" w:name="_Toc59631236"/>
      <w:r>
        <w:rPr>
          <w:rFonts w:eastAsia="楷体_GB2312" w:hint="eastAsia"/>
          <w:b/>
          <w:bCs/>
          <w:color w:val="000000" w:themeColor="text1"/>
          <w:sz w:val="24"/>
        </w:rPr>
        <w:t>附件七：《赎回申请表》（样本）</w:t>
      </w:r>
      <w:bookmarkEnd w:id="383"/>
      <w:bookmarkEnd w:id="384"/>
    </w:p>
    <w:p w:rsidR="00066166" w:rsidRDefault="00F62BD0">
      <w:pPr>
        <w:spacing w:line="360" w:lineRule="auto"/>
        <w:jc w:val="center"/>
        <w:rPr>
          <w:rFonts w:eastAsia="楷体_GB2312"/>
          <w:b/>
          <w:color w:val="000000" w:themeColor="text1"/>
          <w:sz w:val="24"/>
        </w:rPr>
      </w:pPr>
      <w:r>
        <w:rPr>
          <w:rFonts w:eastAsia="楷体_GB2312"/>
          <w:b/>
          <w:color w:val="000000" w:themeColor="text1"/>
          <w:sz w:val="24"/>
        </w:rPr>
        <w:t>五矿信托磐石系列</w:t>
      </w:r>
      <w:r>
        <w:rPr>
          <w:rFonts w:eastAsia="楷体_GB2312"/>
          <w:b/>
          <w:color w:val="000000" w:themeColor="text1"/>
          <w:sz w:val="24"/>
        </w:rPr>
        <w:t>-</w:t>
      </w:r>
      <w:r>
        <w:rPr>
          <w:rFonts w:eastAsia="楷体_GB2312" w:hint="eastAsia"/>
          <w:b/>
          <w:color w:val="000000" w:themeColor="text1"/>
          <w:sz w:val="24"/>
        </w:rPr>
        <w:t>建盈稳冀</w:t>
      </w:r>
      <w:r>
        <w:rPr>
          <w:rFonts w:eastAsia="楷体_GB2312" w:hint="eastAsia"/>
          <w:b/>
          <w:color w:val="000000" w:themeColor="text1"/>
          <w:sz w:val="24"/>
        </w:rPr>
        <w:t>2</w:t>
      </w:r>
      <w:r>
        <w:rPr>
          <w:rFonts w:eastAsia="楷体_GB2312" w:hint="eastAsia"/>
          <w:b/>
          <w:color w:val="000000" w:themeColor="text1"/>
          <w:sz w:val="24"/>
        </w:rPr>
        <w:t>号</w:t>
      </w:r>
      <w:r>
        <w:rPr>
          <w:rFonts w:eastAsia="楷体_GB2312"/>
          <w:b/>
          <w:color w:val="000000" w:themeColor="text1"/>
          <w:sz w:val="24"/>
        </w:rPr>
        <w:t>集合资金信托计划</w:t>
      </w:r>
    </w:p>
    <w:p w:rsidR="00066166" w:rsidRDefault="00F62BD0">
      <w:pPr>
        <w:spacing w:line="360" w:lineRule="auto"/>
        <w:jc w:val="center"/>
        <w:rPr>
          <w:color w:val="000000" w:themeColor="text1"/>
          <w:sz w:val="24"/>
        </w:rPr>
      </w:pPr>
      <w:r>
        <w:rPr>
          <w:rFonts w:eastAsia="楷体_GB2312" w:hint="eastAsia"/>
          <w:b/>
          <w:color w:val="000000" w:themeColor="text1"/>
          <w:sz w:val="24"/>
        </w:rPr>
        <w:t>赎回申请表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19"/>
        <w:gridCol w:w="1054"/>
        <w:gridCol w:w="1703"/>
        <w:gridCol w:w="1074"/>
        <w:gridCol w:w="2426"/>
      </w:tblGrid>
      <w:tr w:rsidR="00066166">
        <w:trPr>
          <w:trHeight w:val="418"/>
        </w:trPr>
        <w:tc>
          <w:tcPr>
            <w:tcW w:w="739" w:type="dxa"/>
            <w:vMerge w:val="restart"/>
          </w:tcPr>
          <w:p w:rsidR="00066166" w:rsidRDefault="00F62BD0">
            <w:pPr>
              <w:spacing w:line="240" w:lineRule="atLeast"/>
              <w:rPr>
                <w:rFonts w:eastAsia="楷体_GB2312"/>
                <w:kern w:val="0"/>
              </w:rPr>
            </w:pPr>
            <w:r>
              <w:rPr>
                <w:rFonts w:eastAsia="楷体_GB2312" w:hint="eastAsia"/>
                <w:kern w:val="0"/>
              </w:rPr>
              <w:t>产品基本信息</w:t>
            </w:r>
          </w:p>
        </w:tc>
        <w:tc>
          <w:tcPr>
            <w:tcW w:w="3273" w:type="dxa"/>
            <w:gridSpan w:val="2"/>
          </w:tcPr>
          <w:p w:rsidR="00066166" w:rsidRDefault="00F62BD0">
            <w:pPr>
              <w:spacing w:line="240" w:lineRule="atLeast"/>
              <w:rPr>
                <w:rFonts w:eastAsia="楷体_GB2312"/>
                <w:kern w:val="0"/>
              </w:rPr>
            </w:pPr>
            <w:r>
              <w:rPr>
                <w:rFonts w:eastAsia="楷体_GB2312" w:hint="eastAsia"/>
                <w:kern w:val="0"/>
              </w:rPr>
              <w:t>信托计划名称</w:t>
            </w:r>
          </w:p>
        </w:tc>
        <w:tc>
          <w:tcPr>
            <w:tcW w:w="5203" w:type="dxa"/>
            <w:gridSpan w:val="3"/>
          </w:tcPr>
          <w:p w:rsidR="00066166" w:rsidRDefault="00066166">
            <w:pPr>
              <w:spacing w:line="240" w:lineRule="atLeast"/>
              <w:rPr>
                <w:rFonts w:eastAsia="楷体_GB2312"/>
                <w:sz w:val="24"/>
              </w:rPr>
            </w:pPr>
          </w:p>
        </w:tc>
      </w:tr>
      <w:tr w:rsidR="00066166">
        <w:trPr>
          <w:trHeight w:val="418"/>
        </w:trPr>
        <w:tc>
          <w:tcPr>
            <w:tcW w:w="739" w:type="dxa"/>
            <w:vMerge/>
          </w:tcPr>
          <w:p w:rsidR="00066166" w:rsidRDefault="00066166">
            <w:pPr>
              <w:spacing w:line="240" w:lineRule="atLeast"/>
              <w:jc w:val="center"/>
              <w:rPr>
                <w:rFonts w:eastAsia="楷体_GB2312"/>
                <w:kern w:val="0"/>
              </w:rPr>
            </w:pPr>
          </w:p>
        </w:tc>
        <w:tc>
          <w:tcPr>
            <w:tcW w:w="3273" w:type="dxa"/>
            <w:gridSpan w:val="2"/>
          </w:tcPr>
          <w:p w:rsidR="00066166" w:rsidRDefault="00F62BD0">
            <w:pPr>
              <w:spacing w:line="240" w:lineRule="atLeast"/>
              <w:rPr>
                <w:rFonts w:eastAsia="楷体_GB2312"/>
                <w:kern w:val="0"/>
              </w:rPr>
            </w:pPr>
            <w:r>
              <w:rPr>
                <w:rFonts w:eastAsia="楷体_GB2312" w:hint="eastAsia"/>
                <w:kern w:val="0"/>
              </w:rPr>
              <w:t>信托合同编号</w:t>
            </w:r>
          </w:p>
        </w:tc>
        <w:tc>
          <w:tcPr>
            <w:tcW w:w="5203" w:type="dxa"/>
            <w:gridSpan w:val="3"/>
          </w:tcPr>
          <w:p w:rsidR="00066166" w:rsidRDefault="00066166">
            <w:pPr>
              <w:spacing w:line="240" w:lineRule="atLeast"/>
              <w:rPr>
                <w:rFonts w:eastAsia="楷体_GB2312"/>
                <w:sz w:val="24"/>
              </w:rPr>
            </w:pPr>
          </w:p>
        </w:tc>
      </w:tr>
      <w:tr w:rsidR="00066166">
        <w:trPr>
          <w:cantSplit/>
          <w:trHeight w:val="696"/>
        </w:trPr>
        <w:tc>
          <w:tcPr>
            <w:tcW w:w="739" w:type="dxa"/>
            <w:vMerge w:val="restart"/>
            <w:textDirection w:val="tbRlV"/>
            <w:vAlign w:val="center"/>
          </w:tcPr>
          <w:p w:rsidR="00066166" w:rsidRDefault="00F62BD0">
            <w:pPr>
              <w:spacing w:line="240" w:lineRule="atLeast"/>
              <w:ind w:left="113" w:right="113"/>
              <w:jc w:val="center"/>
              <w:rPr>
                <w:rFonts w:eastAsia="楷体_GB2312"/>
                <w:kern w:val="0"/>
              </w:rPr>
            </w:pPr>
            <w:r>
              <w:rPr>
                <w:rFonts w:eastAsia="楷体_GB2312" w:hint="eastAsia"/>
                <w:kern w:val="0"/>
              </w:rPr>
              <w:t>受益人</w:t>
            </w:r>
          </w:p>
        </w:tc>
        <w:tc>
          <w:tcPr>
            <w:tcW w:w="3273" w:type="dxa"/>
            <w:gridSpan w:val="2"/>
            <w:vAlign w:val="center"/>
          </w:tcPr>
          <w:p w:rsidR="00066166" w:rsidRDefault="00F62BD0">
            <w:pPr>
              <w:spacing w:line="240" w:lineRule="atLeast"/>
              <w:rPr>
                <w:rFonts w:eastAsia="楷体_GB2312"/>
                <w:kern w:val="0"/>
              </w:rPr>
            </w:pPr>
            <w:r>
              <w:rPr>
                <w:rFonts w:eastAsia="楷体_GB2312"/>
                <w:kern w:val="0"/>
              </w:rPr>
              <w:t>自然人姓名</w:t>
            </w:r>
            <w:r>
              <w:rPr>
                <w:rFonts w:eastAsia="楷体_GB2312"/>
                <w:kern w:val="0"/>
              </w:rPr>
              <w:t>/</w:t>
            </w:r>
          </w:p>
          <w:p w:rsidR="00066166" w:rsidRDefault="00F62BD0">
            <w:pPr>
              <w:spacing w:line="240" w:lineRule="atLeast"/>
              <w:rPr>
                <w:rFonts w:eastAsia="楷体_GB2312"/>
                <w:kern w:val="0"/>
              </w:rPr>
            </w:pPr>
            <w:r>
              <w:rPr>
                <w:rFonts w:eastAsia="楷体_GB2312"/>
                <w:kern w:val="0"/>
              </w:rPr>
              <w:t>法人</w:t>
            </w:r>
            <w:r>
              <w:rPr>
                <w:rFonts w:eastAsia="楷体_GB2312" w:hint="eastAsia"/>
                <w:kern w:val="0"/>
              </w:rPr>
              <w:t>或非法人组织</w:t>
            </w:r>
            <w:r>
              <w:rPr>
                <w:rFonts w:eastAsia="楷体_GB2312"/>
                <w:kern w:val="0"/>
              </w:rPr>
              <w:t>名称</w:t>
            </w:r>
          </w:p>
        </w:tc>
        <w:tc>
          <w:tcPr>
            <w:tcW w:w="5203" w:type="dxa"/>
            <w:gridSpan w:val="3"/>
            <w:vAlign w:val="center"/>
          </w:tcPr>
          <w:p w:rsidR="00066166" w:rsidRDefault="00066166">
            <w:pPr>
              <w:spacing w:line="240" w:lineRule="atLeast"/>
              <w:rPr>
                <w:rFonts w:eastAsia="楷体_GB2312"/>
                <w:kern w:val="0"/>
              </w:rPr>
            </w:pPr>
          </w:p>
        </w:tc>
      </w:tr>
      <w:tr w:rsidR="00066166">
        <w:trPr>
          <w:cantSplit/>
          <w:trHeight w:val="696"/>
        </w:trPr>
        <w:tc>
          <w:tcPr>
            <w:tcW w:w="739" w:type="dxa"/>
            <w:vMerge/>
            <w:vAlign w:val="center"/>
          </w:tcPr>
          <w:p w:rsidR="00066166" w:rsidRDefault="00066166">
            <w:pPr>
              <w:spacing w:line="240" w:lineRule="atLeast"/>
              <w:jc w:val="center"/>
              <w:rPr>
                <w:rFonts w:eastAsia="楷体_GB2312"/>
                <w:kern w:val="0"/>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证件类型</w:t>
            </w:r>
          </w:p>
        </w:tc>
        <w:tc>
          <w:tcPr>
            <w:tcW w:w="5203" w:type="dxa"/>
            <w:gridSpan w:val="3"/>
            <w:vAlign w:val="center"/>
          </w:tcPr>
          <w:p w:rsidR="00066166" w:rsidRDefault="00F62BD0">
            <w:pPr>
              <w:spacing w:line="240" w:lineRule="atLeast"/>
              <w:rPr>
                <w:rFonts w:eastAsia="楷体_GB2312"/>
                <w:kern w:val="0"/>
                <w:szCs w:val="21"/>
              </w:rPr>
            </w:pPr>
            <w:r>
              <w:rPr>
                <w:rFonts w:eastAsia="楷体_GB2312" w:hint="eastAsia"/>
                <w:kern w:val="0"/>
                <w:szCs w:val="21"/>
              </w:rPr>
              <w:t>【身份证</w:t>
            </w:r>
            <w:r>
              <w:rPr>
                <w:rFonts w:eastAsia="楷体_GB2312" w:hint="eastAsia"/>
                <w:kern w:val="0"/>
                <w:szCs w:val="21"/>
              </w:rPr>
              <w:t>/</w:t>
            </w:r>
            <w:r>
              <w:rPr>
                <w:rFonts w:eastAsia="楷体_GB2312" w:hint="eastAsia"/>
                <w:kern w:val="0"/>
                <w:szCs w:val="21"/>
              </w:rPr>
              <w:t>护照</w:t>
            </w:r>
            <w:r>
              <w:rPr>
                <w:rFonts w:eastAsia="楷体_GB2312" w:hint="eastAsia"/>
                <w:kern w:val="0"/>
                <w:szCs w:val="21"/>
              </w:rPr>
              <w:t>/</w:t>
            </w:r>
            <w:r>
              <w:rPr>
                <w:rFonts w:eastAsia="楷体_GB2312" w:hint="eastAsia"/>
                <w:kern w:val="0"/>
                <w:szCs w:val="21"/>
              </w:rPr>
              <w:t>港澳台居民居住证</w:t>
            </w:r>
            <w:r>
              <w:rPr>
                <w:rFonts w:eastAsia="楷体_GB2312" w:hint="eastAsia"/>
                <w:kern w:val="0"/>
                <w:szCs w:val="21"/>
              </w:rPr>
              <w:t>/</w:t>
            </w:r>
            <w:r>
              <w:rPr>
                <w:rFonts w:eastAsia="楷体_GB2312" w:hint="eastAsia"/>
                <w:kern w:val="0"/>
                <w:szCs w:val="21"/>
              </w:rPr>
              <w:t>营业执照</w:t>
            </w:r>
            <w:r>
              <w:rPr>
                <w:rFonts w:eastAsia="楷体_GB2312" w:hint="eastAsia"/>
                <w:kern w:val="0"/>
                <w:szCs w:val="21"/>
              </w:rPr>
              <w:t>/</w:t>
            </w:r>
            <w:r>
              <w:rPr>
                <w:rFonts w:eastAsia="楷体_GB2312" w:hint="eastAsia"/>
                <w:kern w:val="0"/>
                <w:szCs w:val="21"/>
              </w:rPr>
              <w:t>其他</w:t>
            </w:r>
            <w:r>
              <w:rPr>
                <w:rFonts w:eastAsia="楷体_GB2312" w:hint="eastAsia"/>
                <w:kern w:val="0"/>
                <w:szCs w:val="21"/>
                <w:u w:val="single"/>
              </w:rPr>
              <w:t xml:space="preserve"> </w:t>
            </w:r>
            <w:r>
              <w:rPr>
                <w:rFonts w:eastAsia="楷体_GB2312"/>
                <w:kern w:val="0"/>
                <w:szCs w:val="21"/>
                <w:u w:val="single"/>
              </w:rPr>
              <w:t xml:space="preserve">     </w:t>
            </w:r>
            <w:r>
              <w:rPr>
                <w:rFonts w:eastAsia="楷体_GB2312" w:hint="eastAsia"/>
                <w:kern w:val="0"/>
                <w:szCs w:val="21"/>
              </w:rPr>
              <w:t>】</w:t>
            </w:r>
          </w:p>
        </w:tc>
      </w:tr>
      <w:tr w:rsidR="00066166">
        <w:trPr>
          <w:cantSplit/>
          <w:trHeight w:val="696"/>
        </w:trPr>
        <w:tc>
          <w:tcPr>
            <w:tcW w:w="739" w:type="dxa"/>
            <w:vMerge/>
            <w:vAlign w:val="center"/>
          </w:tcPr>
          <w:p w:rsidR="00066166" w:rsidRDefault="00066166">
            <w:pPr>
              <w:spacing w:line="240" w:lineRule="atLeast"/>
              <w:jc w:val="center"/>
              <w:rPr>
                <w:rFonts w:eastAsia="楷体_GB2312"/>
                <w:kern w:val="0"/>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证件号码</w:t>
            </w:r>
          </w:p>
        </w:tc>
        <w:tc>
          <w:tcPr>
            <w:tcW w:w="5203" w:type="dxa"/>
            <w:gridSpan w:val="3"/>
            <w:vAlign w:val="center"/>
          </w:tcPr>
          <w:p w:rsidR="00066166" w:rsidRDefault="00066166">
            <w:pPr>
              <w:spacing w:line="240" w:lineRule="atLeast"/>
              <w:rPr>
                <w:rFonts w:eastAsia="楷体_GB2312"/>
                <w:kern w:val="0"/>
              </w:rPr>
            </w:pPr>
          </w:p>
        </w:tc>
      </w:tr>
      <w:tr w:rsidR="00066166">
        <w:trPr>
          <w:cantSplit/>
          <w:trHeight w:val="636"/>
        </w:trPr>
        <w:tc>
          <w:tcPr>
            <w:tcW w:w="739" w:type="dxa"/>
            <w:vMerge/>
          </w:tcPr>
          <w:p w:rsidR="00066166" w:rsidRDefault="00066166">
            <w:pPr>
              <w:spacing w:line="240" w:lineRule="atLeast"/>
              <w:rPr>
                <w:rFonts w:eastAsia="楷体_GB2312"/>
                <w:b/>
                <w:kern w:val="0"/>
                <w:sz w:val="44"/>
              </w:rPr>
            </w:pPr>
          </w:p>
        </w:tc>
        <w:tc>
          <w:tcPr>
            <w:tcW w:w="2219" w:type="dxa"/>
            <w:vMerge w:val="restart"/>
            <w:vAlign w:val="center"/>
          </w:tcPr>
          <w:p w:rsidR="00066166" w:rsidRDefault="00F62BD0">
            <w:pPr>
              <w:spacing w:line="240" w:lineRule="atLeast"/>
              <w:rPr>
                <w:rFonts w:eastAsia="楷体_GB2312"/>
                <w:kern w:val="0"/>
                <w:sz w:val="18"/>
                <w:szCs w:val="18"/>
              </w:rPr>
            </w:pPr>
            <w:r>
              <w:rPr>
                <w:rFonts w:eastAsia="楷体_GB2312" w:hint="eastAsia"/>
                <w:kern w:val="0"/>
                <w:sz w:val="18"/>
                <w:szCs w:val="18"/>
              </w:rPr>
              <w:t>法人或非法人组织的法定代表人</w:t>
            </w:r>
            <w:r>
              <w:rPr>
                <w:rFonts w:eastAsia="楷体_GB2312" w:hint="eastAsia"/>
                <w:kern w:val="0"/>
                <w:sz w:val="18"/>
                <w:szCs w:val="18"/>
              </w:rPr>
              <w:t>/</w:t>
            </w:r>
            <w:r>
              <w:rPr>
                <w:rFonts w:eastAsia="楷体_GB2312" w:hint="eastAsia"/>
                <w:kern w:val="0"/>
                <w:sz w:val="18"/>
                <w:szCs w:val="18"/>
              </w:rPr>
              <w:t>负责人</w:t>
            </w:r>
            <w:r>
              <w:rPr>
                <w:rFonts w:eastAsia="楷体_GB2312" w:hint="eastAsia"/>
                <w:kern w:val="0"/>
                <w:sz w:val="18"/>
                <w:szCs w:val="18"/>
              </w:rPr>
              <w:t>/</w:t>
            </w:r>
            <w:r>
              <w:rPr>
                <w:rFonts w:eastAsia="楷体_GB2312" w:hint="eastAsia"/>
                <w:kern w:val="0"/>
                <w:sz w:val="18"/>
                <w:szCs w:val="18"/>
              </w:rPr>
              <w:t>管理人</w:t>
            </w:r>
            <w:r>
              <w:rPr>
                <w:rFonts w:eastAsia="楷体_GB2312" w:hint="eastAsia"/>
                <w:kern w:val="0"/>
                <w:sz w:val="18"/>
                <w:szCs w:val="18"/>
              </w:rPr>
              <w:t>/</w:t>
            </w:r>
            <w:r>
              <w:rPr>
                <w:rFonts w:eastAsia="楷体_GB2312" w:hint="eastAsia"/>
                <w:kern w:val="0"/>
                <w:sz w:val="18"/>
                <w:szCs w:val="18"/>
              </w:rPr>
              <w:t>执行事务合伙人委派代表或委托人的授权代表</w:t>
            </w:r>
          </w:p>
        </w:tc>
        <w:tc>
          <w:tcPr>
            <w:tcW w:w="1054" w:type="dxa"/>
            <w:vAlign w:val="center"/>
          </w:tcPr>
          <w:p w:rsidR="00066166" w:rsidRDefault="00F62BD0">
            <w:pPr>
              <w:spacing w:line="240" w:lineRule="atLeast"/>
              <w:jc w:val="center"/>
              <w:rPr>
                <w:rFonts w:eastAsia="楷体_GB2312"/>
                <w:kern w:val="0"/>
              </w:rPr>
            </w:pPr>
            <w:r>
              <w:rPr>
                <w:rFonts w:eastAsia="楷体_GB2312"/>
                <w:kern w:val="0"/>
              </w:rPr>
              <w:t>姓名</w:t>
            </w:r>
          </w:p>
        </w:tc>
        <w:tc>
          <w:tcPr>
            <w:tcW w:w="5203" w:type="dxa"/>
            <w:gridSpan w:val="3"/>
            <w:vAlign w:val="bottom"/>
          </w:tcPr>
          <w:p w:rsidR="00066166" w:rsidRDefault="00066166">
            <w:pPr>
              <w:spacing w:line="240" w:lineRule="atLeast"/>
              <w:rPr>
                <w:rFonts w:eastAsia="楷体_GB2312"/>
                <w:kern w:val="0"/>
              </w:rPr>
            </w:pPr>
          </w:p>
        </w:tc>
      </w:tr>
      <w:tr w:rsidR="00066166">
        <w:trPr>
          <w:cantSplit/>
          <w:trHeight w:val="702"/>
        </w:trPr>
        <w:tc>
          <w:tcPr>
            <w:tcW w:w="739" w:type="dxa"/>
            <w:vMerge/>
          </w:tcPr>
          <w:p w:rsidR="00066166" w:rsidRDefault="00066166">
            <w:pPr>
              <w:spacing w:line="240" w:lineRule="atLeast"/>
              <w:rPr>
                <w:rFonts w:eastAsia="楷体_GB2312"/>
                <w:b/>
                <w:kern w:val="0"/>
                <w:sz w:val="44"/>
              </w:rPr>
            </w:pPr>
          </w:p>
        </w:tc>
        <w:tc>
          <w:tcPr>
            <w:tcW w:w="2219" w:type="dxa"/>
            <w:vMerge/>
            <w:vAlign w:val="bottom"/>
          </w:tcPr>
          <w:p w:rsidR="00066166" w:rsidRDefault="00066166">
            <w:pPr>
              <w:spacing w:line="240" w:lineRule="atLeast"/>
              <w:rPr>
                <w:rFonts w:eastAsia="楷体_GB2312"/>
                <w:b/>
                <w:kern w:val="0"/>
                <w:sz w:val="44"/>
              </w:rPr>
            </w:pPr>
          </w:p>
        </w:tc>
        <w:tc>
          <w:tcPr>
            <w:tcW w:w="1054" w:type="dxa"/>
            <w:vAlign w:val="center"/>
          </w:tcPr>
          <w:p w:rsidR="00066166" w:rsidRDefault="00F62BD0">
            <w:pPr>
              <w:spacing w:line="240" w:lineRule="atLeast"/>
              <w:jc w:val="center"/>
              <w:rPr>
                <w:rFonts w:eastAsia="楷体_GB2312"/>
                <w:kern w:val="0"/>
              </w:rPr>
            </w:pPr>
            <w:r>
              <w:rPr>
                <w:rFonts w:eastAsia="楷体_GB2312"/>
                <w:kern w:val="0"/>
              </w:rPr>
              <w:t>证件类型</w:t>
            </w:r>
          </w:p>
        </w:tc>
        <w:tc>
          <w:tcPr>
            <w:tcW w:w="5203" w:type="dxa"/>
            <w:gridSpan w:val="3"/>
            <w:vAlign w:val="bottom"/>
          </w:tcPr>
          <w:p w:rsidR="00066166" w:rsidRDefault="00F62BD0">
            <w:pPr>
              <w:spacing w:line="240" w:lineRule="atLeast"/>
              <w:rPr>
                <w:rFonts w:eastAsia="楷体_GB2312"/>
                <w:kern w:val="0"/>
                <w:sz w:val="24"/>
              </w:rPr>
            </w:pPr>
            <w:r>
              <w:rPr>
                <w:rFonts w:eastAsia="楷体_GB2312" w:hint="eastAsia"/>
                <w:kern w:val="0"/>
                <w:szCs w:val="21"/>
              </w:rPr>
              <w:t>【身份证</w:t>
            </w:r>
            <w:r>
              <w:rPr>
                <w:rFonts w:eastAsia="楷体_GB2312" w:hint="eastAsia"/>
                <w:kern w:val="0"/>
                <w:szCs w:val="21"/>
              </w:rPr>
              <w:t>/</w:t>
            </w:r>
            <w:r>
              <w:rPr>
                <w:rFonts w:eastAsia="楷体_GB2312" w:hint="eastAsia"/>
                <w:kern w:val="0"/>
                <w:szCs w:val="21"/>
              </w:rPr>
              <w:t>护照</w:t>
            </w:r>
            <w:r>
              <w:rPr>
                <w:rFonts w:eastAsia="楷体_GB2312" w:hint="eastAsia"/>
                <w:kern w:val="0"/>
                <w:szCs w:val="21"/>
              </w:rPr>
              <w:t>/</w:t>
            </w:r>
            <w:r>
              <w:rPr>
                <w:rFonts w:eastAsia="楷体_GB2312" w:hint="eastAsia"/>
                <w:kern w:val="0"/>
                <w:szCs w:val="21"/>
              </w:rPr>
              <w:t>港澳台居民居住证</w:t>
            </w:r>
            <w:r>
              <w:rPr>
                <w:rFonts w:eastAsia="楷体_GB2312" w:hint="eastAsia"/>
                <w:kern w:val="0"/>
                <w:szCs w:val="21"/>
              </w:rPr>
              <w:t>/</w:t>
            </w:r>
            <w:r>
              <w:rPr>
                <w:rFonts w:eastAsia="楷体_GB2312" w:hint="eastAsia"/>
                <w:kern w:val="0"/>
                <w:szCs w:val="21"/>
              </w:rPr>
              <w:t>营业执照</w:t>
            </w:r>
            <w:r>
              <w:rPr>
                <w:rFonts w:eastAsia="楷体_GB2312" w:hint="eastAsia"/>
                <w:kern w:val="0"/>
                <w:szCs w:val="21"/>
              </w:rPr>
              <w:t>/</w:t>
            </w:r>
            <w:r>
              <w:rPr>
                <w:rFonts w:eastAsia="楷体_GB2312" w:hint="eastAsia"/>
                <w:kern w:val="0"/>
                <w:szCs w:val="21"/>
              </w:rPr>
              <w:t>其他</w:t>
            </w:r>
            <w:r>
              <w:rPr>
                <w:rFonts w:eastAsia="楷体_GB2312" w:hint="eastAsia"/>
                <w:kern w:val="0"/>
                <w:szCs w:val="21"/>
                <w:u w:val="single"/>
              </w:rPr>
              <w:t xml:space="preserve"> </w:t>
            </w:r>
            <w:r>
              <w:rPr>
                <w:rFonts w:eastAsia="楷体_GB2312"/>
                <w:kern w:val="0"/>
                <w:szCs w:val="21"/>
                <w:u w:val="single"/>
              </w:rPr>
              <w:t xml:space="preserve">     </w:t>
            </w:r>
            <w:r>
              <w:rPr>
                <w:rFonts w:eastAsia="楷体_GB2312" w:hint="eastAsia"/>
                <w:kern w:val="0"/>
                <w:szCs w:val="21"/>
              </w:rPr>
              <w:t>】</w:t>
            </w:r>
          </w:p>
        </w:tc>
      </w:tr>
      <w:tr w:rsidR="00066166">
        <w:trPr>
          <w:cantSplit/>
          <w:trHeight w:val="702"/>
        </w:trPr>
        <w:tc>
          <w:tcPr>
            <w:tcW w:w="739" w:type="dxa"/>
            <w:vMerge/>
          </w:tcPr>
          <w:p w:rsidR="00066166" w:rsidRDefault="00066166">
            <w:pPr>
              <w:spacing w:line="240" w:lineRule="atLeast"/>
              <w:rPr>
                <w:rFonts w:eastAsia="楷体_GB2312"/>
                <w:b/>
                <w:kern w:val="0"/>
                <w:sz w:val="44"/>
              </w:rPr>
            </w:pPr>
          </w:p>
        </w:tc>
        <w:tc>
          <w:tcPr>
            <w:tcW w:w="2219" w:type="dxa"/>
            <w:vMerge/>
            <w:vAlign w:val="bottom"/>
          </w:tcPr>
          <w:p w:rsidR="00066166" w:rsidRDefault="00066166">
            <w:pPr>
              <w:spacing w:line="240" w:lineRule="atLeast"/>
              <w:rPr>
                <w:rFonts w:eastAsia="楷体_GB2312"/>
                <w:b/>
                <w:kern w:val="0"/>
                <w:sz w:val="44"/>
              </w:rPr>
            </w:pPr>
          </w:p>
        </w:tc>
        <w:tc>
          <w:tcPr>
            <w:tcW w:w="1054" w:type="dxa"/>
            <w:vAlign w:val="center"/>
          </w:tcPr>
          <w:p w:rsidR="00066166" w:rsidRDefault="00F62BD0">
            <w:pPr>
              <w:spacing w:line="240" w:lineRule="atLeast"/>
              <w:jc w:val="center"/>
              <w:rPr>
                <w:rFonts w:eastAsia="楷体_GB2312"/>
                <w:kern w:val="0"/>
              </w:rPr>
            </w:pPr>
            <w:r>
              <w:rPr>
                <w:rFonts w:eastAsia="楷体_GB2312" w:hint="eastAsia"/>
                <w:kern w:val="0"/>
              </w:rPr>
              <w:t>证件号码</w:t>
            </w:r>
          </w:p>
        </w:tc>
        <w:tc>
          <w:tcPr>
            <w:tcW w:w="5203" w:type="dxa"/>
            <w:gridSpan w:val="3"/>
            <w:vAlign w:val="bottom"/>
          </w:tcPr>
          <w:p w:rsidR="00066166" w:rsidRDefault="00066166">
            <w:pPr>
              <w:spacing w:line="240" w:lineRule="atLeast"/>
              <w:rPr>
                <w:rFonts w:eastAsia="楷体_GB2312"/>
                <w:kern w:val="0"/>
                <w:sz w:val="24"/>
              </w:rPr>
            </w:pPr>
          </w:p>
        </w:tc>
      </w:tr>
      <w:tr w:rsidR="00066166">
        <w:trPr>
          <w:cantSplit/>
          <w:trHeight w:val="568"/>
        </w:trPr>
        <w:tc>
          <w:tcPr>
            <w:tcW w:w="739" w:type="dxa"/>
            <w:vMerge/>
          </w:tcPr>
          <w:p w:rsidR="00066166" w:rsidRDefault="00066166">
            <w:pPr>
              <w:spacing w:line="240" w:lineRule="atLeast"/>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通讯地址</w:t>
            </w:r>
          </w:p>
        </w:tc>
        <w:tc>
          <w:tcPr>
            <w:tcW w:w="5203" w:type="dxa"/>
            <w:gridSpan w:val="3"/>
            <w:vAlign w:val="center"/>
          </w:tcPr>
          <w:p w:rsidR="00066166" w:rsidRDefault="00066166">
            <w:pPr>
              <w:spacing w:line="240" w:lineRule="atLeast"/>
              <w:rPr>
                <w:rFonts w:eastAsia="楷体_GB2312"/>
                <w:kern w:val="0"/>
              </w:rPr>
            </w:pPr>
          </w:p>
        </w:tc>
      </w:tr>
      <w:tr w:rsidR="00066166">
        <w:trPr>
          <w:cantSplit/>
          <w:trHeight w:val="695"/>
        </w:trPr>
        <w:tc>
          <w:tcPr>
            <w:tcW w:w="739" w:type="dxa"/>
            <w:vMerge/>
          </w:tcPr>
          <w:p w:rsidR="00066166" w:rsidRDefault="00066166">
            <w:pPr>
              <w:spacing w:line="240" w:lineRule="atLeast"/>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邮政编码</w:t>
            </w:r>
          </w:p>
        </w:tc>
        <w:tc>
          <w:tcPr>
            <w:tcW w:w="1703" w:type="dxa"/>
            <w:vAlign w:val="center"/>
          </w:tcPr>
          <w:p w:rsidR="00066166" w:rsidRDefault="00066166">
            <w:pPr>
              <w:spacing w:line="240" w:lineRule="atLeast"/>
              <w:rPr>
                <w:rFonts w:eastAsia="楷体_GB2312"/>
                <w:kern w:val="0"/>
              </w:rPr>
            </w:pPr>
          </w:p>
        </w:tc>
        <w:tc>
          <w:tcPr>
            <w:tcW w:w="1074" w:type="dxa"/>
            <w:vAlign w:val="center"/>
          </w:tcPr>
          <w:p w:rsidR="00066166" w:rsidRDefault="00F62BD0">
            <w:pPr>
              <w:spacing w:line="240" w:lineRule="atLeast"/>
              <w:rPr>
                <w:rFonts w:eastAsia="楷体_GB2312"/>
                <w:kern w:val="0"/>
              </w:rPr>
            </w:pPr>
            <w:r>
              <w:rPr>
                <w:rFonts w:eastAsia="楷体_GB2312"/>
                <w:kern w:val="0"/>
              </w:rPr>
              <w:t>联系人</w:t>
            </w:r>
          </w:p>
        </w:tc>
        <w:tc>
          <w:tcPr>
            <w:tcW w:w="2426" w:type="dxa"/>
            <w:vAlign w:val="center"/>
          </w:tcPr>
          <w:p w:rsidR="00066166" w:rsidRDefault="00066166">
            <w:pPr>
              <w:spacing w:line="240" w:lineRule="atLeast"/>
              <w:rPr>
                <w:rFonts w:eastAsia="楷体_GB2312"/>
                <w:kern w:val="0"/>
              </w:rPr>
            </w:pPr>
          </w:p>
        </w:tc>
      </w:tr>
      <w:tr w:rsidR="00066166">
        <w:trPr>
          <w:cantSplit/>
          <w:trHeight w:val="704"/>
        </w:trPr>
        <w:tc>
          <w:tcPr>
            <w:tcW w:w="739" w:type="dxa"/>
            <w:vMerge/>
          </w:tcPr>
          <w:p w:rsidR="00066166" w:rsidRDefault="00066166">
            <w:pPr>
              <w:spacing w:line="240" w:lineRule="atLeast"/>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联系电话</w:t>
            </w:r>
          </w:p>
        </w:tc>
        <w:tc>
          <w:tcPr>
            <w:tcW w:w="1703" w:type="dxa"/>
            <w:vAlign w:val="center"/>
          </w:tcPr>
          <w:p w:rsidR="00066166" w:rsidRDefault="00066166">
            <w:pPr>
              <w:spacing w:line="240" w:lineRule="atLeast"/>
              <w:rPr>
                <w:rFonts w:eastAsia="楷体_GB2312"/>
                <w:kern w:val="0"/>
              </w:rPr>
            </w:pPr>
          </w:p>
        </w:tc>
        <w:tc>
          <w:tcPr>
            <w:tcW w:w="1074" w:type="dxa"/>
            <w:vAlign w:val="center"/>
          </w:tcPr>
          <w:p w:rsidR="00066166" w:rsidRDefault="00F62BD0">
            <w:pPr>
              <w:spacing w:line="240" w:lineRule="atLeast"/>
              <w:rPr>
                <w:rFonts w:eastAsia="楷体_GB2312"/>
                <w:kern w:val="0"/>
              </w:rPr>
            </w:pPr>
            <w:r>
              <w:rPr>
                <w:rFonts w:eastAsia="楷体_GB2312"/>
                <w:kern w:val="0"/>
              </w:rPr>
              <w:t>手机</w:t>
            </w:r>
          </w:p>
        </w:tc>
        <w:tc>
          <w:tcPr>
            <w:tcW w:w="2426" w:type="dxa"/>
            <w:vAlign w:val="center"/>
          </w:tcPr>
          <w:p w:rsidR="00066166" w:rsidRDefault="00066166">
            <w:pPr>
              <w:spacing w:line="240" w:lineRule="atLeast"/>
              <w:rPr>
                <w:rFonts w:eastAsia="楷体_GB2312"/>
                <w:kern w:val="0"/>
              </w:rPr>
            </w:pPr>
          </w:p>
        </w:tc>
      </w:tr>
      <w:tr w:rsidR="00066166">
        <w:trPr>
          <w:cantSplit/>
          <w:trHeight w:val="697"/>
        </w:trPr>
        <w:tc>
          <w:tcPr>
            <w:tcW w:w="739" w:type="dxa"/>
            <w:vMerge/>
          </w:tcPr>
          <w:p w:rsidR="00066166" w:rsidRDefault="00066166">
            <w:pPr>
              <w:spacing w:line="240" w:lineRule="atLeast"/>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传真</w:t>
            </w:r>
          </w:p>
        </w:tc>
        <w:tc>
          <w:tcPr>
            <w:tcW w:w="1703" w:type="dxa"/>
            <w:vAlign w:val="center"/>
          </w:tcPr>
          <w:p w:rsidR="00066166" w:rsidRDefault="00066166">
            <w:pPr>
              <w:spacing w:line="240" w:lineRule="atLeast"/>
              <w:rPr>
                <w:rFonts w:eastAsia="楷体_GB2312"/>
                <w:kern w:val="0"/>
              </w:rPr>
            </w:pPr>
          </w:p>
        </w:tc>
        <w:tc>
          <w:tcPr>
            <w:tcW w:w="1074" w:type="dxa"/>
            <w:vAlign w:val="center"/>
          </w:tcPr>
          <w:p w:rsidR="00066166" w:rsidRDefault="00F62BD0">
            <w:pPr>
              <w:spacing w:line="240" w:lineRule="atLeast"/>
              <w:rPr>
                <w:rFonts w:eastAsia="楷体_GB2312"/>
                <w:kern w:val="0"/>
              </w:rPr>
            </w:pPr>
            <w:r>
              <w:rPr>
                <w:rFonts w:eastAsia="楷体_GB2312"/>
                <w:kern w:val="0"/>
              </w:rPr>
              <w:t>电子信箱</w:t>
            </w:r>
          </w:p>
        </w:tc>
        <w:tc>
          <w:tcPr>
            <w:tcW w:w="2426" w:type="dxa"/>
            <w:vAlign w:val="center"/>
          </w:tcPr>
          <w:p w:rsidR="00066166" w:rsidRDefault="00066166">
            <w:pPr>
              <w:spacing w:line="240" w:lineRule="atLeast"/>
              <w:rPr>
                <w:rFonts w:eastAsia="楷体_GB2312"/>
                <w:kern w:val="0"/>
              </w:rPr>
            </w:pPr>
          </w:p>
        </w:tc>
      </w:tr>
      <w:tr w:rsidR="00066166">
        <w:trPr>
          <w:cantSplit/>
          <w:trHeight w:val="704"/>
        </w:trPr>
        <w:tc>
          <w:tcPr>
            <w:tcW w:w="4012" w:type="dxa"/>
            <w:gridSpan w:val="3"/>
            <w:vAlign w:val="center"/>
          </w:tcPr>
          <w:p w:rsidR="00066166" w:rsidRDefault="00F62BD0">
            <w:pPr>
              <w:spacing w:line="240" w:lineRule="atLeast"/>
              <w:jc w:val="center"/>
              <w:rPr>
                <w:rFonts w:eastAsia="楷体_GB2312"/>
                <w:kern w:val="0"/>
              </w:rPr>
            </w:pPr>
            <w:r>
              <w:rPr>
                <w:rFonts w:eastAsia="楷体_GB2312" w:hint="eastAsia"/>
                <w:kern w:val="0"/>
              </w:rPr>
              <w:t>支付方式</w:t>
            </w:r>
          </w:p>
        </w:tc>
        <w:tc>
          <w:tcPr>
            <w:tcW w:w="5203" w:type="dxa"/>
            <w:gridSpan w:val="3"/>
            <w:vAlign w:val="center"/>
          </w:tcPr>
          <w:p w:rsidR="00066166" w:rsidRDefault="00F62BD0">
            <w:pPr>
              <w:spacing w:line="240" w:lineRule="atLeast"/>
              <w:rPr>
                <w:rFonts w:eastAsia="楷体_GB2312"/>
                <w:kern w:val="0"/>
              </w:rPr>
            </w:pPr>
            <w:r>
              <w:rPr>
                <w:rFonts w:eastAsia="楷体_GB2312" w:hint="eastAsia"/>
                <w:kern w:val="0"/>
                <w:szCs w:val="21"/>
              </w:rPr>
              <w:t>【银行转账】</w:t>
            </w:r>
          </w:p>
        </w:tc>
      </w:tr>
      <w:tr w:rsidR="00066166">
        <w:trPr>
          <w:cantSplit/>
          <w:trHeight w:val="685"/>
        </w:trPr>
        <w:tc>
          <w:tcPr>
            <w:tcW w:w="739" w:type="dxa"/>
            <w:vMerge w:val="restart"/>
            <w:vAlign w:val="center"/>
          </w:tcPr>
          <w:p w:rsidR="00066166" w:rsidRDefault="00F62BD0">
            <w:pPr>
              <w:spacing w:line="240" w:lineRule="atLeast"/>
              <w:jc w:val="center"/>
              <w:rPr>
                <w:rFonts w:eastAsia="楷体_GB2312"/>
                <w:kern w:val="0"/>
              </w:rPr>
            </w:pPr>
            <w:r>
              <w:rPr>
                <w:rFonts w:eastAsia="楷体_GB2312"/>
                <w:kern w:val="0"/>
              </w:rPr>
              <w:t>信托利益分配账户</w:t>
            </w:r>
          </w:p>
        </w:tc>
        <w:tc>
          <w:tcPr>
            <w:tcW w:w="3273" w:type="dxa"/>
            <w:gridSpan w:val="2"/>
            <w:vAlign w:val="center"/>
          </w:tcPr>
          <w:p w:rsidR="00066166" w:rsidRDefault="00F62BD0">
            <w:pPr>
              <w:spacing w:line="240" w:lineRule="atLeast"/>
              <w:rPr>
                <w:rFonts w:eastAsia="楷体_GB2312"/>
                <w:kern w:val="0"/>
              </w:rPr>
            </w:pPr>
            <w:r>
              <w:rPr>
                <w:rFonts w:eastAsia="楷体_GB2312"/>
                <w:kern w:val="0"/>
              </w:rPr>
              <w:t>账户名称</w:t>
            </w:r>
          </w:p>
        </w:tc>
        <w:tc>
          <w:tcPr>
            <w:tcW w:w="5203" w:type="dxa"/>
            <w:gridSpan w:val="3"/>
            <w:vAlign w:val="bottom"/>
          </w:tcPr>
          <w:p w:rsidR="00066166" w:rsidRDefault="00066166">
            <w:pPr>
              <w:spacing w:line="240" w:lineRule="atLeast"/>
              <w:rPr>
                <w:rFonts w:eastAsia="楷体_GB2312"/>
                <w:kern w:val="0"/>
              </w:rPr>
            </w:pPr>
          </w:p>
        </w:tc>
      </w:tr>
      <w:tr w:rsidR="00066166">
        <w:trPr>
          <w:cantSplit/>
          <w:trHeight w:val="714"/>
        </w:trPr>
        <w:tc>
          <w:tcPr>
            <w:tcW w:w="739" w:type="dxa"/>
            <w:vMerge/>
            <w:vAlign w:val="center"/>
          </w:tcPr>
          <w:p w:rsidR="00066166" w:rsidRDefault="00066166">
            <w:pPr>
              <w:keepNext/>
              <w:keepLines/>
              <w:numPr>
                <w:ilvl w:val="2"/>
                <w:numId w:val="1"/>
              </w:numPr>
              <w:spacing w:line="240" w:lineRule="atLeast"/>
              <w:jc w:val="center"/>
              <w:outlineLvl w:val="2"/>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开户银行</w:t>
            </w:r>
          </w:p>
        </w:tc>
        <w:tc>
          <w:tcPr>
            <w:tcW w:w="5203" w:type="dxa"/>
            <w:gridSpan w:val="3"/>
            <w:vAlign w:val="center"/>
          </w:tcPr>
          <w:p w:rsidR="00066166" w:rsidRDefault="00F62BD0">
            <w:pPr>
              <w:spacing w:line="240" w:lineRule="atLeast"/>
              <w:ind w:leftChars="251" w:left="527"/>
              <w:jc w:val="center"/>
              <w:rPr>
                <w:rFonts w:eastAsia="楷体_GB2312"/>
                <w:kern w:val="0"/>
              </w:rPr>
            </w:pPr>
            <w:r>
              <w:rPr>
                <w:rFonts w:eastAsia="楷体_GB2312" w:hint="eastAsia"/>
                <w:kern w:val="0"/>
              </w:rPr>
              <w:t>银行</w:t>
            </w:r>
            <w:r>
              <w:rPr>
                <w:rFonts w:eastAsia="楷体_GB2312" w:hint="eastAsia"/>
                <w:kern w:val="0"/>
              </w:rPr>
              <w:t xml:space="preserve">        </w:t>
            </w:r>
            <w:r>
              <w:rPr>
                <w:rFonts w:eastAsia="楷体_GB2312" w:hint="eastAsia"/>
                <w:kern w:val="0"/>
              </w:rPr>
              <w:t xml:space="preserve"> </w:t>
            </w:r>
            <w:r>
              <w:rPr>
                <w:rFonts w:eastAsia="楷体_GB2312" w:hint="eastAsia"/>
                <w:kern w:val="0"/>
              </w:rPr>
              <w:t>分行</w:t>
            </w:r>
            <w:r>
              <w:rPr>
                <w:rFonts w:eastAsia="楷体_GB2312" w:hint="eastAsia"/>
                <w:kern w:val="0"/>
              </w:rPr>
              <w:t xml:space="preserve">           </w:t>
            </w:r>
            <w:r>
              <w:rPr>
                <w:rFonts w:eastAsia="楷体_GB2312" w:hint="eastAsia"/>
                <w:kern w:val="0"/>
              </w:rPr>
              <w:t>支行</w:t>
            </w:r>
          </w:p>
        </w:tc>
      </w:tr>
      <w:tr w:rsidR="00066166">
        <w:trPr>
          <w:cantSplit/>
          <w:trHeight w:val="673"/>
        </w:trPr>
        <w:tc>
          <w:tcPr>
            <w:tcW w:w="739" w:type="dxa"/>
            <w:vMerge/>
            <w:vAlign w:val="center"/>
          </w:tcPr>
          <w:p w:rsidR="00066166" w:rsidRDefault="00066166">
            <w:pPr>
              <w:keepNext/>
              <w:keepLines/>
              <w:numPr>
                <w:ilvl w:val="2"/>
                <w:numId w:val="1"/>
              </w:numPr>
              <w:spacing w:line="240" w:lineRule="atLeast"/>
              <w:jc w:val="center"/>
              <w:outlineLvl w:val="2"/>
              <w:rPr>
                <w:rFonts w:eastAsia="楷体_GB2312"/>
                <w:b/>
                <w:kern w:val="0"/>
                <w:sz w:val="32"/>
              </w:rPr>
            </w:pPr>
          </w:p>
        </w:tc>
        <w:tc>
          <w:tcPr>
            <w:tcW w:w="3273" w:type="dxa"/>
            <w:gridSpan w:val="2"/>
            <w:vAlign w:val="center"/>
          </w:tcPr>
          <w:p w:rsidR="00066166" w:rsidRDefault="00F62BD0">
            <w:pPr>
              <w:spacing w:line="240" w:lineRule="atLeast"/>
              <w:rPr>
                <w:rFonts w:eastAsia="楷体_GB2312"/>
                <w:kern w:val="0"/>
              </w:rPr>
            </w:pPr>
            <w:r>
              <w:rPr>
                <w:rFonts w:eastAsia="楷体_GB2312"/>
                <w:kern w:val="0"/>
              </w:rPr>
              <w:t>银行账（卡）号</w:t>
            </w:r>
          </w:p>
        </w:tc>
        <w:tc>
          <w:tcPr>
            <w:tcW w:w="5203" w:type="dxa"/>
            <w:gridSpan w:val="3"/>
            <w:vAlign w:val="center"/>
          </w:tcPr>
          <w:p w:rsidR="00066166" w:rsidRDefault="00066166">
            <w:pPr>
              <w:spacing w:line="240" w:lineRule="atLeast"/>
              <w:jc w:val="center"/>
              <w:rPr>
                <w:rFonts w:eastAsia="楷体_GB2312"/>
                <w:kern w:val="0"/>
              </w:rPr>
            </w:pPr>
          </w:p>
        </w:tc>
      </w:tr>
      <w:tr w:rsidR="00066166">
        <w:trPr>
          <w:cantSplit/>
          <w:trHeight w:val="731"/>
        </w:trPr>
        <w:tc>
          <w:tcPr>
            <w:tcW w:w="4012" w:type="dxa"/>
            <w:gridSpan w:val="3"/>
            <w:vAlign w:val="center"/>
          </w:tcPr>
          <w:p w:rsidR="00066166" w:rsidRDefault="00F62BD0">
            <w:pPr>
              <w:spacing w:line="240" w:lineRule="atLeast"/>
              <w:jc w:val="left"/>
              <w:rPr>
                <w:rFonts w:eastAsia="楷体_GB2312"/>
                <w:kern w:val="0"/>
              </w:rPr>
            </w:pPr>
            <w:r>
              <w:rPr>
                <w:rFonts w:eastAsia="楷体_GB2312" w:hint="eastAsia"/>
                <w:kern w:val="0"/>
              </w:rPr>
              <w:t>交易类型</w:t>
            </w:r>
          </w:p>
        </w:tc>
        <w:tc>
          <w:tcPr>
            <w:tcW w:w="5203" w:type="dxa"/>
            <w:gridSpan w:val="3"/>
            <w:vAlign w:val="center"/>
          </w:tcPr>
          <w:p w:rsidR="00066166" w:rsidRDefault="00F62BD0">
            <w:pPr>
              <w:spacing w:line="240" w:lineRule="atLeast"/>
              <w:rPr>
                <w:rFonts w:eastAsia="楷体_GB2312"/>
                <w:kern w:val="0"/>
              </w:rPr>
            </w:pPr>
            <w:r>
              <w:rPr>
                <w:rFonts w:eastAsia="楷体_GB2312" w:hint="eastAsia"/>
                <w:kern w:val="0"/>
              </w:rPr>
              <w:t>□全部赎回</w:t>
            </w:r>
            <w:r>
              <w:rPr>
                <w:rFonts w:eastAsia="楷体_GB2312" w:hint="eastAsia"/>
                <w:kern w:val="0"/>
              </w:rPr>
              <w:t xml:space="preserve"> </w:t>
            </w:r>
            <w:r>
              <w:rPr>
                <w:rFonts w:eastAsia="楷体_GB2312"/>
                <w:kern w:val="0"/>
              </w:rPr>
              <w:t xml:space="preserve">            </w:t>
            </w:r>
            <w:r>
              <w:rPr>
                <w:rFonts w:eastAsia="楷体_GB2312" w:hint="eastAsia"/>
                <w:kern w:val="0"/>
              </w:rPr>
              <w:t>□部分赎回</w:t>
            </w:r>
          </w:p>
        </w:tc>
      </w:tr>
      <w:tr w:rsidR="00066166">
        <w:trPr>
          <w:cantSplit/>
          <w:trHeight w:val="731"/>
        </w:trPr>
        <w:tc>
          <w:tcPr>
            <w:tcW w:w="4012" w:type="dxa"/>
            <w:gridSpan w:val="3"/>
            <w:vAlign w:val="center"/>
          </w:tcPr>
          <w:p w:rsidR="00066166" w:rsidRDefault="00F62BD0">
            <w:pPr>
              <w:spacing w:line="240" w:lineRule="atLeast"/>
              <w:jc w:val="left"/>
              <w:rPr>
                <w:rFonts w:eastAsia="楷体_GB2312"/>
                <w:kern w:val="0"/>
              </w:rPr>
            </w:pPr>
            <w:r>
              <w:rPr>
                <w:rFonts w:eastAsia="楷体_GB2312" w:hint="eastAsia"/>
                <w:kern w:val="0"/>
              </w:rPr>
              <w:t>赎回</w:t>
            </w:r>
            <w:r>
              <w:rPr>
                <w:rFonts w:eastAsia="楷体_GB2312"/>
                <w:kern w:val="0"/>
              </w:rPr>
              <w:t>信托单位份额</w:t>
            </w:r>
            <w:r>
              <w:rPr>
                <w:rFonts w:eastAsia="楷体_GB2312" w:hint="eastAsia"/>
                <w:kern w:val="0"/>
              </w:rPr>
              <w:t>（部分赎回时填写）</w:t>
            </w:r>
          </w:p>
        </w:tc>
        <w:tc>
          <w:tcPr>
            <w:tcW w:w="5203" w:type="dxa"/>
            <w:gridSpan w:val="3"/>
            <w:vAlign w:val="center"/>
          </w:tcPr>
          <w:p w:rsidR="00066166" w:rsidRDefault="00066166">
            <w:pPr>
              <w:spacing w:line="240" w:lineRule="atLeast"/>
              <w:jc w:val="center"/>
              <w:rPr>
                <w:rFonts w:eastAsia="楷体_GB2312"/>
                <w:kern w:val="0"/>
              </w:rPr>
            </w:pPr>
          </w:p>
        </w:tc>
      </w:tr>
      <w:tr w:rsidR="00066166">
        <w:trPr>
          <w:cantSplit/>
          <w:trHeight w:val="731"/>
        </w:trPr>
        <w:tc>
          <w:tcPr>
            <w:tcW w:w="4012" w:type="dxa"/>
            <w:gridSpan w:val="3"/>
            <w:vAlign w:val="center"/>
          </w:tcPr>
          <w:p w:rsidR="00066166" w:rsidRDefault="00F62BD0">
            <w:pPr>
              <w:spacing w:line="240" w:lineRule="atLeast"/>
              <w:jc w:val="left"/>
              <w:rPr>
                <w:rFonts w:eastAsia="楷体_GB2312"/>
                <w:kern w:val="0"/>
              </w:rPr>
            </w:pPr>
            <w:r>
              <w:rPr>
                <w:rFonts w:eastAsia="楷体_GB2312" w:hint="eastAsia"/>
                <w:kern w:val="0"/>
              </w:rPr>
              <w:t>信托单位赎回方式</w:t>
            </w:r>
          </w:p>
        </w:tc>
        <w:tc>
          <w:tcPr>
            <w:tcW w:w="5203" w:type="dxa"/>
            <w:gridSpan w:val="3"/>
            <w:vAlign w:val="center"/>
          </w:tcPr>
          <w:p w:rsidR="00066166" w:rsidRDefault="00F62BD0">
            <w:pPr>
              <w:spacing w:line="240" w:lineRule="atLeast"/>
              <w:jc w:val="center"/>
              <w:rPr>
                <w:rFonts w:eastAsia="楷体_GB2312"/>
                <w:kern w:val="0"/>
              </w:rPr>
            </w:pPr>
            <w:r>
              <w:rPr>
                <w:rFonts w:eastAsia="楷体_GB2312" w:hint="eastAsia"/>
                <w:kern w:val="0"/>
              </w:rPr>
              <w:t>自动赎回</w:t>
            </w:r>
          </w:p>
        </w:tc>
      </w:tr>
      <w:tr w:rsidR="00066166">
        <w:trPr>
          <w:cantSplit/>
          <w:trHeight w:val="731"/>
        </w:trPr>
        <w:tc>
          <w:tcPr>
            <w:tcW w:w="4012" w:type="dxa"/>
            <w:gridSpan w:val="3"/>
            <w:vAlign w:val="center"/>
          </w:tcPr>
          <w:p w:rsidR="00066166" w:rsidRDefault="00F62BD0">
            <w:pPr>
              <w:spacing w:line="240" w:lineRule="atLeast"/>
              <w:jc w:val="left"/>
              <w:rPr>
                <w:rFonts w:eastAsia="楷体_GB2312"/>
                <w:kern w:val="0"/>
              </w:rPr>
            </w:pPr>
            <w:r>
              <w:rPr>
                <w:rFonts w:eastAsia="楷体_GB2312" w:hint="eastAsia"/>
                <w:kern w:val="0"/>
              </w:rPr>
              <w:t>本次赎回申请对应的开放日</w:t>
            </w:r>
          </w:p>
        </w:tc>
        <w:tc>
          <w:tcPr>
            <w:tcW w:w="5203" w:type="dxa"/>
            <w:gridSpan w:val="3"/>
            <w:vAlign w:val="center"/>
          </w:tcPr>
          <w:p w:rsidR="00066166" w:rsidRDefault="00066166">
            <w:pPr>
              <w:spacing w:line="240" w:lineRule="atLeast"/>
              <w:jc w:val="center"/>
              <w:rPr>
                <w:rFonts w:eastAsia="楷体_GB2312"/>
                <w:kern w:val="0"/>
              </w:rPr>
            </w:pPr>
          </w:p>
        </w:tc>
      </w:tr>
      <w:tr w:rsidR="00066166">
        <w:trPr>
          <w:cantSplit/>
          <w:trHeight w:val="884"/>
        </w:trPr>
        <w:tc>
          <w:tcPr>
            <w:tcW w:w="4012" w:type="dxa"/>
            <w:gridSpan w:val="3"/>
            <w:vAlign w:val="center"/>
          </w:tcPr>
          <w:p w:rsidR="00066166" w:rsidRDefault="00F62BD0">
            <w:pPr>
              <w:spacing w:line="240" w:lineRule="atLeast"/>
              <w:jc w:val="left"/>
              <w:rPr>
                <w:rFonts w:eastAsia="楷体_GB2312"/>
                <w:kern w:val="0"/>
              </w:rPr>
            </w:pPr>
            <w:r>
              <w:rPr>
                <w:rFonts w:eastAsia="楷体_GB2312" w:hint="eastAsia"/>
                <w:kern w:val="0"/>
              </w:rPr>
              <w:t>赎回</w:t>
            </w:r>
            <w:r>
              <w:rPr>
                <w:rFonts w:eastAsia="楷体_GB2312"/>
                <w:kern w:val="0"/>
              </w:rPr>
              <w:t>金额</w:t>
            </w:r>
          </w:p>
        </w:tc>
        <w:tc>
          <w:tcPr>
            <w:tcW w:w="5203" w:type="dxa"/>
            <w:gridSpan w:val="3"/>
            <w:vAlign w:val="center"/>
          </w:tcPr>
          <w:p w:rsidR="00066166" w:rsidRDefault="00F62BD0">
            <w:pPr>
              <w:spacing w:line="240" w:lineRule="atLeast"/>
              <w:rPr>
                <w:rFonts w:eastAsia="楷体_GB2312"/>
                <w:kern w:val="0"/>
              </w:rPr>
            </w:pPr>
            <w:r>
              <w:rPr>
                <w:rFonts w:eastAsia="楷体_GB2312" w:hint="eastAsia"/>
                <w:kern w:val="0"/>
              </w:rPr>
              <w:t>最终以受托人确认赎回成功通知中载明的赎回金额为准。</w:t>
            </w:r>
          </w:p>
        </w:tc>
      </w:tr>
      <w:tr w:rsidR="00066166">
        <w:trPr>
          <w:cantSplit/>
          <w:trHeight w:val="402"/>
        </w:trPr>
        <w:tc>
          <w:tcPr>
            <w:tcW w:w="9215" w:type="dxa"/>
            <w:gridSpan w:val="6"/>
            <w:vAlign w:val="center"/>
          </w:tcPr>
          <w:p w:rsidR="00066166" w:rsidRDefault="00F62BD0">
            <w:pPr>
              <w:spacing w:line="240" w:lineRule="atLeast"/>
              <w:rPr>
                <w:rFonts w:eastAsia="楷体_GB2312"/>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确认《赎回申请表》，《赎回申请表》即生效，同时意味着您已经完整阅读信托合同</w:t>
            </w:r>
            <w:r>
              <w:rPr>
                <w:rFonts w:eastAsia="楷体_GB2312" w:hint="eastAsia"/>
                <w:color w:val="000000" w:themeColor="text1"/>
                <w:kern w:val="0"/>
              </w:rPr>
              <w:t>/</w:t>
            </w:r>
            <w:r>
              <w:rPr>
                <w:rFonts w:eastAsia="楷体_GB2312" w:hint="eastAsia"/>
                <w:color w:val="000000" w:themeColor="text1"/>
                <w:kern w:val="0"/>
              </w:rPr>
              <w:t>信托文件及《赎回申请表》项下关于信托单位赎回的全部内容，并同意以数据电文或纸质签署方式，或受托人认可</w:t>
            </w:r>
            <w:r>
              <w:rPr>
                <w:rFonts w:eastAsia="楷体_GB2312" w:hint="eastAsia"/>
                <w:color w:val="000000" w:themeColor="text1"/>
                <w:kern w:val="0"/>
              </w:rPr>
              <w:t>/</w:t>
            </w:r>
            <w:r>
              <w:rPr>
                <w:rFonts w:eastAsia="楷体_GB2312" w:hint="eastAsia"/>
                <w:color w:val="000000" w:themeColor="text1"/>
                <w:kern w:val="0"/>
              </w:rPr>
              <w:t>信托文件约定的其他形式订立《赎回申请表》，且签署</w:t>
            </w:r>
            <w:r>
              <w:rPr>
                <w:rFonts w:eastAsia="楷体_GB2312" w:hint="eastAsia"/>
                <w:color w:val="000000" w:themeColor="text1"/>
                <w:kern w:val="0"/>
              </w:rPr>
              <w:t>/</w:t>
            </w:r>
            <w:r>
              <w:rPr>
                <w:rFonts w:eastAsia="楷体_GB2312" w:hint="eastAsia"/>
                <w:color w:val="000000" w:themeColor="text1"/>
                <w:kern w:val="0"/>
              </w:rPr>
              <w:t>确认后未经受托人书面同意和确认的，您不得单方撤销、撤回或变更赎回申请</w:t>
            </w:r>
            <w:r>
              <w:rPr>
                <w:rFonts w:eastAsia="楷体_GB2312" w:hint="eastAsia"/>
                <w:color w:val="000000" w:themeColor="text1"/>
                <w:kern w:val="0"/>
              </w:rPr>
              <w:t xml:space="preserve"> </w:t>
            </w:r>
            <w:r>
              <w:rPr>
                <w:rFonts w:eastAsia="楷体_GB2312" w:hint="eastAsia"/>
                <w:color w:val="000000" w:themeColor="text1"/>
                <w:kern w:val="0"/>
              </w:rPr>
              <w:t>，《赎回申请表》构成信托文件的有效组成部分。提交《赎回申请表》且受托人接受赎回申请，并不代表您已经成功赎回相应信托单位，赎回结果应以受托人实际通知内容为准</w:t>
            </w:r>
            <w:r>
              <w:rPr>
                <w:rFonts w:eastAsia="楷体_GB2312" w:hint="eastAsia"/>
                <w:color w:val="000000" w:themeColor="text1"/>
                <w:kern w:val="0"/>
              </w:rPr>
              <w:t xml:space="preserve"> </w:t>
            </w:r>
            <w:r>
              <w:rPr>
                <w:rFonts w:eastAsia="楷体_GB2312" w:hint="eastAsia"/>
                <w:color w:val="000000" w:themeColor="text1"/>
                <w:kern w:val="0"/>
              </w:rPr>
              <w:t>。</w:t>
            </w:r>
          </w:p>
        </w:tc>
      </w:tr>
      <w:tr w:rsidR="00066166">
        <w:trPr>
          <w:cantSplit/>
          <w:trHeight w:val="402"/>
        </w:trPr>
        <w:tc>
          <w:tcPr>
            <w:tcW w:w="9215" w:type="dxa"/>
            <w:gridSpan w:val="6"/>
            <w:vAlign w:val="center"/>
          </w:tcPr>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申请人（受益人）：</w:t>
            </w: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自然人签字</w:t>
            </w:r>
            <w:r>
              <w:rPr>
                <w:rFonts w:eastAsia="楷体_GB2312" w:hint="eastAsia"/>
                <w:color w:val="000000" w:themeColor="text1"/>
                <w:kern w:val="0"/>
              </w:rPr>
              <w:t>/</w:t>
            </w:r>
            <w:r>
              <w:rPr>
                <w:rFonts w:eastAsia="楷体_GB2312" w:hint="eastAsia"/>
                <w:color w:val="000000" w:themeColor="text1"/>
                <w:kern w:val="0"/>
              </w:rPr>
              <w:t>法人名称及盖章：</w:t>
            </w:r>
          </w:p>
          <w:p w:rsidR="00066166" w:rsidRDefault="00066166">
            <w:pPr>
              <w:spacing w:line="240" w:lineRule="atLeast"/>
              <w:rPr>
                <w:rFonts w:eastAsia="楷体_GB2312"/>
                <w:color w:val="000000" w:themeColor="text1"/>
                <w:kern w:val="0"/>
              </w:rPr>
            </w:pP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法定代表人或授权代理人</w:t>
            </w:r>
          </w:p>
          <w:p w:rsidR="00066166" w:rsidRDefault="00F62BD0">
            <w:pPr>
              <w:spacing w:line="240" w:lineRule="atLeast"/>
              <w:rPr>
                <w:rFonts w:eastAsia="楷体_GB2312"/>
                <w:color w:val="000000" w:themeColor="text1"/>
                <w:kern w:val="0"/>
              </w:rPr>
            </w:pPr>
            <w:r>
              <w:rPr>
                <w:rFonts w:eastAsia="楷体_GB2312" w:hint="eastAsia"/>
                <w:color w:val="000000" w:themeColor="text1"/>
                <w:kern w:val="0"/>
              </w:rPr>
              <w:t>（签字或盖章）</w:t>
            </w:r>
          </w:p>
        </w:tc>
      </w:tr>
    </w:tbl>
    <w:p w:rsidR="00066166" w:rsidRDefault="00F62BD0">
      <w:pPr>
        <w:widowControl/>
        <w:jc w:val="left"/>
        <w:rPr>
          <w:rFonts w:eastAsia="楷体_GB2312"/>
          <w:b/>
          <w:bCs/>
          <w:color w:val="000000" w:themeColor="text1"/>
          <w:sz w:val="24"/>
        </w:rPr>
      </w:pPr>
      <w:r>
        <w:rPr>
          <w:rFonts w:eastAsia="楷体_GB2312"/>
          <w:b/>
          <w:bCs/>
          <w:color w:val="000000" w:themeColor="text1"/>
          <w:sz w:val="24"/>
        </w:rPr>
        <w:br w:type="page"/>
      </w:r>
    </w:p>
    <w:p w:rsidR="00066166" w:rsidRDefault="00F62BD0">
      <w:pPr>
        <w:spacing w:before="50" w:afterLines="50" w:after="156" w:line="240" w:lineRule="atLeast"/>
        <w:outlineLvl w:val="0"/>
        <w:rPr>
          <w:rFonts w:eastAsia="楷体_GB2312"/>
          <w:b/>
          <w:bCs/>
          <w:color w:val="000000" w:themeColor="text1"/>
          <w:sz w:val="24"/>
        </w:rPr>
      </w:pPr>
      <w:bookmarkStart w:id="385" w:name="_Toc91143634"/>
      <w:r>
        <w:rPr>
          <w:rFonts w:eastAsia="楷体_GB2312" w:hint="eastAsia"/>
          <w:b/>
          <w:bCs/>
          <w:color w:val="000000" w:themeColor="text1"/>
          <w:sz w:val="24"/>
        </w:rPr>
        <w:t>附件八：标的资管产品的基本要素</w:t>
      </w:r>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925"/>
      </w:tblGrid>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产品名称</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center"/>
              <w:rPr>
                <w:rFonts w:ascii="楷体_GB2312" w:eastAsia="楷体_GB2312" w:hAnsi="仿宋" w:cs="宋体"/>
                <w:color w:val="000000"/>
                <w:kern w:val="0"/>
                <w:szCs w:val="21"/>
              </w:rPr>
            </w:pPr>
            <w:r>
              <w:rPr>
                <w:rFonts w:ascii="楷体_GB2312" w:eastAsia="楷体_GB2312" w:hAnsi="仿宋" w:cs="宋体" w:hint="eastAsia"/>
                <w:color w:val="000000"/>
                <w:kern w:val="0"/>
                <w:szCs w:val="21"/>
              </w:rPr>
              <w:t>申万宏源建盈稳冀</w:t>
            </w: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号集合资产管理计划</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管理人</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center"/>
              <w:rPr>
                <w:rFonts w:ascii="楷体_GB2312" w:eastAsia="楷体_GB2312" w:hAnsi="仿宋" w:cs="宋体"/>
                <w:color w:val="000000"/>
                <w:kern w:val="0"/>
                <w:szCs w:val="21"/>
              </w:rPr>
            </w:pPr>
            <w:r>
              <w:rPr>
                <w:rFonts w:ascii="楷体_GB2312" w:eastAsia="楷体_GB2312" w:hAnsi="仿宋" w:cs="宋体" w:hint="eastAsia"/>
                <w:color w:val="000000"/>
                <w:kern w:val="0"/>
                <w:szCs w:val="21"/>
              </w:rPr>
              <w:t>申万宏源证券有限公司</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产品类型</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center"/>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固定收益类集合资产管理计划</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投资范围</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固定收益类资产：包括国内银行间市场和交易所市场上市交易的国债、金融债、地方政府债、央行票据、企业债、公司债（含项目收益债、非公开发行公司债）、中期票据、短期融资券、超短期融资券、非公开定向债务融资工具、债券型基金、资产支持证券（仅限优先级）、资产支持票据（仅限优先级）、可转换债券、可交换债券、债券逆回购、货币市场基金、银行存款、同业存单、现金及其他法律法规或政策许可投资的固定收益证券品种；</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）本产品可参与债券逆回购、债券正回购、债券借贷。</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法律法规或中国证监会允许集合计划投资其他品种的，资产管理人</w:t>
            </w:r>
            <w:r>
              <w:rPr>
                <w:rFonts w:ascii="楷体_GB2312" w:eastAsia="楷体_GB2312" w:hAnsi="仿宋" w:cs="宋体" w:hint="eastAsia"/>
                <w:color w:val="000000"/>
                <w:kern w:val="0"/>
                <w:szCs w:val="21"/>
              </w:rPr>
              <w:t>与资产托管人协商一致且在履行合同变更程序后，可以将其纳入本计划的投资范围。</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特别提示：本集合计划投资范围包括债券正回购、债券逆回购。</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投资比例</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固定收益类资产：</w:t>
            </w:r>
            <w:r>
              <w:rPr>
                <w:rFonts w:ascii="楷体_GB2312" w:eastAsia="楷体_GB2312" w:hAnsi="仿宋" w:cs="宋体" w:hint="eastAsia"/>
                <w:color w:val="000000"/>
                <w:kern w:val="0"/>
                <w:szCs w:val="21"/>
              </w:rPr>
              <w:t>100%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本集合计划投资于公募基金时，应按照穿透原则合并计算总资产。</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投资限制</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、本计划的总资产不得超过该产品净资产的</w:t>
            </w:r>
            <w:r>
              <w:rPr>
                <w:rFonts w:ascii="楷体_GB2312" w:eastAsia="楷体_GB2312" w:hAnsi="仿宋" w:cs="宋体" w:hint="eastAsia"/>
                <w:color w:val="000000"/>
                <w:kern w:val="0"/>
                <w:szCs w:val="21"/>
              </w:rPr>
              <w:t xml:space="preserve">200% , </w:t>
            </w:r>
            <w:r>
              <w:rPr>
                <w:rFonts w:ascii="楷体_GB2312" w:eastAsia="楷体_GB2312" w:hAnsi="仿宋" w:cs="宋体" w:hint="eastAsia"/>
                <w:color w:val="000000"/>
                <w:kern w:val="0"/>
                <w:szCs w:val="21"/>
              </w:rPr>
              <w:t>中国证监会另有规定的除外；</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、现金、银行存款、协议存款、同业存单、大额可转让存单和在银行间市场、证券交易所市场等经国务院同意设立的交易市场交易标准化债权资产占总资产的比例不低于</w:t>
            </w:r>
            <w:r>
              <w:rPr>
                <w:rFonts w:ascii="楷体_GB2312" w:eastAsia="楷体_GB2312" w:hAnsi="仿宋" w:cs="宋体" w:hint="eastAsia"/>
                <w:color w:val="000000"/>
                <w:kern w:val="0"/>
                <w:szCs w:val="21"/>
              </w:rPr>
              <w:t>80%</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 xml:space="preserve"> </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3</w:t>
            </w:r>
            <w:r>
              <w:rPr>
                <w:rFonts w:ascii="楷体_GB2312" w:eastAsia="楷体_GB2312" w:hAnsi="仿宋" w:cs="宋体" w:hint="eastAsia"/>
                <w:color w:val="000000"/>
                <w:kern w:val="0"/>
                <w:szCs w:val="21"/>
              </w:rPr>
              <w:t>、本计划投资债券的债项评级必须为</w:t>
            </w:r>
            <w:r>
              <w:rPr>
                <w:rFonts w:ascii="楷体_GB2312" w:eastAsia="楷体_GB2312" w:hAnsi="仿宋" w:cs="宋体" w:hint="eastAsia"/>
                <w:color w:val="000000"/>
                <w:kern w:val="0"/>
                <w:szCs w:val="21"/>
              </w:rPr>
              <w:t>AA</w:t>
            </w:r>
            <w:r>
              <w:rPr>
                <w:rFonts w:ascii="楷体_GB2312" w:eastAsia="楷体_GB2312" w:hAnsi="仿宋" w:cs="宋体" w:hint="eastAsia"/>
                <w:color w:val="000000"/>
                <w:kern w:val="0"/>
                <w:szCs w:val="21"/>
              </w:rPr>
              <w:t>及以上（短期融资券、超短期融资券除外）；短期融资券、超短期融资券债项评级为</w:t>
            </w:r>
            <w:r>
              <w:rPr>
                <w:rFonts w:ascii="楷体_GB2312" w:eastAsia="楷体_GB2312" w:hAnsi="仿宋" w:cs="宋体" w:hint="eastAsia"/>
                <w:color w:val="000000"/>
                <w:kern w:val="0"/>
                <w:szCs w:val="21"/>
              </w:rPr>
              <w:t>A-1</w:t>
            </w:r>
            <w:r>
              <w:rPr>
                <w:rFonts w:ascii="楷体_GB2312" w:eastAsia="楷体_GB2312" w:hAnsi="仿宋" w:cs="宋体" w:hint="eastAsia"/>
                <w:color w:val="000000"/>
                <w:kern w:val="0"/>
                <w:szCs w:val="21"/>
              </w:rPr>
              <w:t>级（如无债项评级的</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主体评级不得低于</w:t>
            </w:r>
            <w:r>
              <w:rPr>
                <w:rFonts w:ascii="楷体_GB2312" w:eastAsia="楷体_GB2312" w:hAnsi="仿宋" w:cs="宋体" w:hint="eastAsia"/>
                <w:color w:val="000000"/>
                <w:kern w:val="0"/>
                <w:szCs w:val="21"/>
              </w:rPr>
              <w:t>AA</w:t>
            </w:r>
            <w:r>
              <w:rPr>
                <w:rFonts w:ascii="楷体_GB2312" w:eastAsia="楷体_GB2312" w:hAnsi="仿宋" w:cs="宋体" w:hint="eastAsia"/>
                <w:color w:val="000000"/>
                <w:kern w:val="0"/>
                <w:szCs w:val="21"/>
              </w:rPr>
              <w:t>）及以上；无债项评级的，以主体评级或担保人评级为准；</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4</w:t>
            </w:r>
            <w:r>
              <w:rPr>
                <w:rFonts w:ascii="楷体_GB2312" w:eastAsia="楷体_GB2312" w:hAnsi="仿宋" w:cs="宋体" w:hint="eastAsia"/>
                <w:color w:val="000000"/>
                <w:kern w:val="0"/>
                <w:szCs w:val="21"/>
              </w:rPr>
              <w:t>、所有非公开方式发行的债券（包括</w:t>
            </w:r>
            <w:r>
              <w:rPr>
                <w:rFonts w:ascii="楷体_GB2312" w:eastAsia="楷体_GB2312" w:hAnsi="仿宋" w:cs="宋体" w:hint="eastAsia"/>
                <w:color w:val="000000"/>
                <w:kern w:val="0"/>
                <w:szCs w:val="21"/>
              </w:rPr>
              <w:t>ABS</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ABN</w:t>
            </w:r>
            <w:r>
              <w:rPr>
                <w:rFonts w:ascii="楷体_GB2312" w:eastAsia="楷体_GB2312" w:hAnsi="仿宋" w:cs="宋体" w:hint="eastAsia"/>
                <w:color w:val="000000"/>
                <w:kern w:val="0"/>
                <w:szCs w:val="21"/>
              </w:rPr>
              <w:t>、非公开发行公司债、非公开项目收益债及非公开定向债务融资工具（</w:t>
            </w:r>
            <w:r>
              <w:rPr>
                <w:rFonts w:ascii="楷体_GB2312" w:eastAsia="楷体_GB2312" w:hAnsi="仿宋" w:cs="宋体" w:hint="eastAsia"/>
                <w:color w:val="000000"/>
                <w:kern w:val="0"/>
                <w:szCs w:val="21"/>
              </w:rPr>
              <w:t>PPN</w:t>
            </w:r>
            <w:r>
              <w:rPr>
                <w:rFonts w:ascii="楷体_GB2312" w:eastAsia="楷体_GB2312" w:hAnsi="仿宋" w:cs="宋体" w:hint="eastAsia"/>
                <w:color w:val="000000"/>
                <w:kern w:val="0"/>
                <w:szCs w:val="21"/>
              </w:rPr>
              <w:t>））的投资比例不超过计划资产总值的</w:t>
            </w:r>
            <w:r>
              <w:rPr>
                <w:rFonts w:ascii="楷体_GB2312" w:eastAsia="楷体_GB2312" w:hAnsi="仿宋" w:cs="宋体" w:hint="eastAsia"/>
                <w:color w:val="000000"/>
                <w:kern w:val="0"/>
                <w:szCs w:val="21"/>
              </w:rPr>
              <w:t>50%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5</w:t>
            </w:r>
            <w:r>
              <w:rPr>
                <w:rFonts w:ascii="楷体_GB2312" w:eastAsia="楷体_GB2312" w:hAnsi="仿宋" w:cs="宋体" w:hint="eastAsia"/>
                <w:color w:val="000000"/>
                <w:kern w:val="0"/>
                <w:szCs w:val="21"/>
              </w:rPr>
              <w:t>、本计划投资于单一主体发行的所有债券的投资比例不超过计划资产总值的</w:t>
            </w:r>
            <w:r>
              <w:rPr>
                <w:rFonts w:ascii="楷体_GB2312" w:eastAsia="楷体_GB2312" w:hAnsi="仿宋" w:cs="宋体" w:hint="eastAsia"/>
                <w:color w:val="000000"/>
                <w:kern w:val="0"/>
                <w:szCs w:val="21"/>
              </w:rPr>
              <w:t>25%</w:t>
            </w:r>
            <w:r>
              <w:rPr>
                <w:rFonts w:ascii="楷体_GB2312" w:eastAsia="楷体_GB2312" w:hAnsi="仿宋" w:cs="宋体" w:hint="eastAsia"/>
                <w:color w:val="000000"/>
                <w:kern w:val="0"/>
                <w:szCs w:val="21"/>
              </w:rPr>
              <w:t>；本计划投资于单只债券的比例不得超过该债券发行规模的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且不超过</w:t>
            </w:r>
            <w:r>
              <w:rPr>
                <w:rFonts w:ascii="楷体_GB2312" w:eastAsia="楷体_GB2312" w:hAnsi="仿宋" w:cs="宋体" w:hint="eastAsia"/>
                <w:color w:val="000000"/>
                <w:kern w:val="0"/>
                <w:szCs w:val="21"/>
              </w:rPr>
              <w:t>计划资产净值的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6</w:t>
            </w:r>
            <w:r>
              <w:rPr>
                <w:rFonts w:ascii="楷体_GB2312" w:eastAsia="楷体_GB2312" w:hAnsi="仿宋" w:cs="宋体" w:hint="eastAsia"/>
                <w:color w:val="000000"/>
                <w:kern w:val="0"/>
                <w:szCs w:val="21"/>
              </w:rPr>
              <w:t>、可交债可转债合计投资比例不超过计划资产总值的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，因可交债可转债转股换股产生的权益类资产，将立即卖出；</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7</w:t>
            </w:r>
            <w:r>
              <w:rPr>
                <w:rFonts w:ascii="楷体_GB2312" w:eastAsia="楷体_GB2312" w:hAnsi="仿宋" w:cs="宋体" w:hint="eastAsia"/>
                <w:color w:val="000000"/>
                <w:kern w:val="0"/>
                <w:szCs w:val="21"/>
              </w:rPr>
              <w:t>、债券的债项评级</w:t>
            </w:r>
            <w:r>
              <w:rPr>
                <w:rFonts w:ascii="楷体_GB2312" w:eastAsia="楷体_GB2312" w:hAnsi="仿宋" w:cs="宋体" w:hint="eastAsia"/>
                <w:color w:val="000000"/>
                <w:kern w:val="0"/>
                <w:szCs w:val="21"/>
              </w:rPr>
              <w:t>AA</w:t>
            </w:r>
            <w:r>
              <w:rPr>
                <w:rFonts w:ascii="楷体_GB2312" w:eastAsia="楷体_GB2312" w:hAnsi="仿宋" w:cs="宋体" w:hint="eastAsia"/>
                <w:color w:val="000000"/>
                <w:kern w:val="0"/>
                <w:szCs w:val="21"/>
              </w:rPr>
              <w:t>的投资比例不超过计划资产总值的</w:t>
            </w:r>
            <w:r>
              <w:rPr>
                <w:rFonts w:ascii="楷体_GB2312" w:eastAsia="楷体_GB2312" w:hAnsi="仿宋" w:cs="宋体" w:hint="eastAsia"/>
                <w:color w:val="000000"/>
                <w:kern w:val="0"/>
                <w:szCs w:val="21"/>
              </w:rPr>
              <w:t>30%</w:t>
            </w:r>
            <w:r>
              <w:rPr>
                <w:rFonts w:ascii="楷体_GB2312" w:eastAsia="楷体_GB2312" w:hAnsi="仿宋" w:cs="宋体" w:hint="eastAsia"/>
                <w:color w:val="000000"/>
                <w:kern w:val="0"/>
                <w:szCs w:val="21"/>
              </w:rPr>
              <w:t>（短期融资券、超短期融资券、城投债除外），无债项评级的，以主体评级为准；</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8</w:t>
            </w:r>
            <w:r>
              <w:rPr>
                <w:rFonts w:ascii="楷体_GB2312" w:eastAsia="楷体_GB2312" w:hAnsi="仿宋" w:cs="宋体" w:hint="eastAsia"/>
                <w:color w:val="000000"/>
                <w:kern w:val="0"/>
                <w:szCs w:val="21"/>
              </w:rPr>
              <w:t>、资产支持证券</w:t>
            </w:r>
            <w:r>
              <w:rPr>
                <w:rFonts w:ascii="楷体_GB2312" w:eastAsia="楷体_GB2312" w:hAnsi="仿宋" w:cs="宋体"/>
                <w:color w:val="000000"/>
                <w:kern w:val="0"/>
                <w:szCs w:val="21"/>
              </w:rPr>
              <w:t>及资产支持票据</w:t>
            </w:r>
            <w:r>
              <w:rPr>
                <w:rFonts w:ascii="楷体_GB2312" w:eastAsia="楷体_GB2312" w:hAnsi="仿宋" w:cs="宋体" w:hint="eastAsia"/>
                <w:color w:val="000000"/>
                <w:kern w:val="0"/>
                <w:szCs w:val="21"/>
              </w:rPr>
              <w:t>仅可投资于优先级份额且信用评级不低于</w:t>
            </w:r>
            <w:r>
              <w:rPr>
                <w:rFonts w:ascii="楷体_GB2312" w:eastAsia="楷体_GB2312" w:hAnsi="仿宋" w:cs="宋体" w:hint="eastAsia"/>
                <w:color w:val="000000"/>
                <w:kern w:val="0"/>
                <w:szCs w:val="21"/>
              </w:rPr>
              <w:t>AA+</w:t>
            </w:r>
            <w:r>
              <w:rPr>
                <w:rFonts w:ascii="楷体_GB2312" w:eastAsia="楷体_GB2312" w:hAnsi="仿宋" w:cs="宋体" w:hint="eastAsia"/>
                <w:color w:val="000000"/>
                <w:kern w:val="0"/>
                <w:szCs w:val="21"/>
              </w:rPr>
              <w:t>，投资比例不超过计划资产总值的</w:t>
            </w:r>
            <w:r>
              <w:rPr>
                <w:rFonts w:ascii="楷体_GB2312" w:eastAsia="楷体_GB2312" w:hAnsi="仿宋" w:cs="宋体" w:hint="eastAsia"/>
                <w:color w:val="000000"/>
                <w:kern w:val="0"/>
                <w:szCs w:val="21"/>
              </w:rPr>
              <w:t>20%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9</w:t>
            </w:r>
            <w:r>
              <w:rPr>
                <w:rFonts w:ascii="楷体_GB2312" w:eastAsia="楷体_GB2312" w:hAnsi="仿宋" w:cs="宋体" w:hint="eastAsia"/>
                <w:color w:val="000000"/>
                <w:kern w:val="0"/>
                <w:szCs w:val="21"/>
              </w:rPr>
              <w:t>、债券正回购资金余额或逆回购资金余额不超过上一日计划资产净值的</w:t>
            </w:r>
            <w:r>
              <w:rPr>
                <w:rFonts w:ascii="楷体_GB2312" w:eastAsia="楷体_GB2312" w:hAnsi="仿宋" w:cs="宋体" w:hint="eastAsia"/>
                <w:color w:val="000000"/>
                <w:kern w:val="0"/>
                <w:szCs w:val="21"/>
              </w:rPr>
              <w:t>100%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、本计划开放退出期，资产组合中</w:t>
            </w:r>
            <w:r>
              <w:rPr>
                <w:rFonts w:ascii="楷体_GB2312" w:eastAsia="楷体_GB2312" w:hAnsi="仿宋" w:cs="宋体" w:hint="eastAsia"/>
                <w:color w:val="000000"/>
                <w:kern w:val="0"/>
                <w:szCs w:val="21"/>
              </w:rPr>
              <w:t>7</w:t>
            </w:r>
            <w:r>
              <w:rPr>
                <w:rFonts w:ascii="楷体_GB2312" w:eastAsia="楷体_GB2312" w:hAnsi="仿宋" w:cs="宋体" w:hint="eastAsia"/>
                <w:color w:val="000000"/>
                <w:kern w:val="0"/>
                <w:szCs w:val="21"/>
              </w:rPr>
              <w:t>个工作日可变现资产的价值，不低于本计划资产净值的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11</w:t>
            </w:r>
            <w:r>
              <w:rPr>
                <w:rFonts w:ascii="楷体_GB2312" w:eastAsia="楷体_GB2312" w:hAnsi="仿宋" w:cs="宋体" w:hint="eastAsia"/>
                <w:color w:val="000000"/>
                <w:kern w:val="0"/>
                <w:szCs w:val="21"/>
              </w:rPr>
              <w:t>、本集合计划投资于同一资产的资金，不得超过本集合计划资产净值的</w:t>
            </w:r>
            <w:r>
              <w:rPr>
                <w:rFonts w:ascii="楷体_GB2312" w:eastAsia="楷体_GB2312" w:hAnsi="仿宋" w:cs="宋体" w:hint="eastAsia"/>
                <w:color w:val="000000"/>
                <w:kern w:val="0"/>
                <w:szCs w:val="21"/>
              </w:rPr>
              <w:t>25%</w:t>
            </w:r>
            <w:r>
              <w:rPr>
                <w:rFonts w:ascii="楷体_GB2312" w:eastAsia="楷体_GB2312" w:hAnsi="仿宋" w:cs="宋体" w:hint="eastAsia"/>
                <w:color w:val="000000"/>
                <w:kern w:val="0"/>
                <w:szCs w:val="21"/>
              </w:rPr>
              <w:t>，银行活期存款、国债、中央银行票据、政策性金融债、地方政府债券等中国证监会认可的投资品种除外；</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12</w:t>
            </w:r>
            <w:r>
              <w:rPr>
                <w:rFonts w:ascii="楷体_GB2312" w:eastAsia="楷体_GB2312" w:hAnsi="仿宋" w:cs="宋体" w:hint="eastAsia"/>
                <w:color w:val="000000"/>
                <w:kern w:val="0"/>
                <w:szCs w:val="21"/>
              </w:rPr>
              <w:t>、投资于债券型基金份额的投资额不得超过前一日资产计划资产净值的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，同时投资份额不得超过该基金最新规模的</w:t>
            </w:r>
            <w:r>
              <w:rPr>
                <w:rFonts w:ascii="楷体_GB2312" w:eastAsia="楷体_GB2312" w:hAnsi="仿宋" w:cs="宋体" w:hint="eastAsia"/>
                <w:color w:val="000000"/>
                <w:kern w:val="0"/>
                <w:szCs w:val="21"/>
              </w:rPr>
              <w:t>10%</w:t>
            </w:r>
            <w:r>
              <w:rPr>
                <w:rFonts w:ascii="楷体_GB2312" w:eastAsia="楷体_GB2312" w:hAnsi="仿宋" w:cs="宋体" w:hint="eastAsia"/>
                <w:color w:val="000000"/>
                <w:kern w:val="0"/>
                <w:szCs w:val="21"/>
              </w:rPr>
              <w:t>（以成本价计算，货币基金除外）；</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13</w:t>
            </w:r>
            <w:r>
              <w:rPr>
                <w:rFonts w:ascii="楷体_GB2312" w:eastAsia="楷体_GB2312" w:hAnsi="仿宋" w:cs="宋体" w:hint="eastAsia"/>
                <w:color w:val="000000"/>
                <w:kern w:val="0"/>
                <w:szCs w:val="21"/>
              </w:rPr>
              <w:t>、本集合计划不得投资于除公募证券投资基金以外的资管产品。</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投资策略</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固定收益资产投资策略：</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久期偏离策略。基于对未来利率水平的预测，对组合的期限和品种进行合理配置，将市场利率变化对于债券组合的影响控制在一定的范围之内。在预期利率进入上升周期时段，通过缩短债券组合的期限或增加浮动利率债券配置来达到降低利率风险的目的。在预期利率进入下降周期时段，通过增加债券组合的期限或减少浮动利率债券配置来达到降低利率风险的目的。</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）收益率曲线配置策略。在组合剩余期限确定的基础上，根据对收益率曲线形状变化的预测，在长期、中期和短期债券间进行配置，以从长、中、短期债券的相对价格变化中获利。</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3</w:t>
            </w:r>
            <w:r>
              <w:rPr>
                <w:rFonts w:ascii="楷体_GB2312" w:eastAsia="楷体_GB2312" w:hAnsi="仿宋" w:cs="宋体" w:hint="eastAsia"/>
                <w:color w:val="000000"/>
                <w:kern w:val="0"/>
                <w:szCs w:val="21"/>
              </w:rPr>
              <w:t>）类别选择策略</w:t>
            </w:r>
            <w:r>
              <w:rPr>
                <w:rFonts w:ascii="楷体_GB2312" w:eastAsia="楷体_GB2312" w:hAnsi="仿宋" w:cs="宋体" w:hint="eastAsia"/>
                <w:color w:val="000000"/>
                <w:kern w:val="0"/>
                <w:szCs w:val="21"/>
              </w:rPr>
              <w:t>。在固定收益品种板块配置时，将依据流动性管理的要求，来确定不同的类属配置。具体表现为：信用债板块收益率高，但流动性弱，而利率产品收益率低，但流动性强。因此，在债券整体配置上应当考虑信用债的获利能力和利率产品的流动性，实现平衡综合配置。</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4</w:t>
            </w:r>
            <w:r>
              <w:rPr>
                <w:rFonts w:ascii="楷体_GB2312" w:eastAsia="楷体_GB2312" w:hAnsi="仿宋" w:cs="宋体" w:hint="eastAsia"/>
                <w:color w:val="000000"/>
                <w:kern w:val="0"/>
                <w:szCs w:val="21"/>
              </w:rPr>
              <w:t>）相对价值策略。相对价值策略包括研究国债与金融债之间的信用利差、交易所与银行间的市场利差等。金融债与国债的利差由税收因素形成，利差的大小主要受市场资金供给充裕程度决定，资金供给越紧张上述利差将越大。交易所与银行间的联动性随着市场改革势必渐渐加强，两市之间的利差能够提供一些</w:t>
            </w:r>
            <w:r>
              <w:rPr>
                <w:rFonts w:ascii="楷体_GB2312" w:eastAsia="楷体_GB2312" w:hAnsi="仿宋" w:cs="宋体" w:hint="eastAsia"/>
                <w:color w:val="000000"/>
                <w:kern w:val="0"/>
                <w:szCs w:val="21"/>
              </w:rPr>
              <w:t>增值机会。</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5</w:t>
            </w:r>
            <w:r>
              <w:rPr>
                <w:rFonts w:ascii="楷体_GB2312" w:eastAsia="楷体_GB2312" w:hAnsi="仿宋" w:cs="宋体" w:hint="eastAsia"/>
                <w:color w:val="000000"/>
                <w:kern w:val="0"/>
                <w:szCs w:val="21"/>
              </w:rPr>
              <w:t>）个券选择策略。考虑到集合计划的流动性和收益要求，在配置固定收益证券时，将依照成交频率、成交频率波动率、月度平均成交金额、每日平均成交金额等指标，选择具有良好流动性和获利能力的个券进行投资。</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6</w:t>
            </w:r>
            <w:r>
              <w:rPr>
                <w:rFonts w:ascii="楷体_GB2312" w:eastAsia="楷体_GB2312" w:hAnsi="仿宋" w:cs="宋体" w:hint="eastAsia"/>
                <w:color w:val="000000"/>
                <w:kern w:val="0"/>
                <w:szCs w:val="21"/>
              </w:rPr>
              <w:t>）信用债投资策略。本计划综合分析宏观经济、利率市场、行业基本面和企业基本面等方面的数据，判断信用债相对于利率产品的信用溢价，并结合市场情绪动态调整信用债的投资比例，以获得信用债的超额收益。</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具体在信用债的个券选择上，本计划在风险控制的前提下，重点关注实际信用状况高于信用评级、预期信用评级上升、具备某</w:t>
            </w:r>
            <w:r>
              <w:rPr>
                <w:rFonts w:ascii="楷体_GB2312" w:eastAsia="楷体_GB2312" w:hAnsi="仿宋" w:cs="宋体" w:hint="eastAsia"/>
                <w:color w:val="000000"/>
                <w:kern w:val="0"/>
                <w:szCs w:val="21"/>
              </w:rPr>
              <w:t>些特殊优势条款、经风险调整后的收益率与市场收益率曲线相比具有相对优势的信用债。</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开放期设置</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本集合计划初始募集期以初始募集公告为准，自本集合计划成立后，每周固定开放日为每周一、周二、周三。若遇非工作日或不可抗力致使无法开放的，则当日不开放，投资者可在开放期内的工作日办理参与及（或）退出业务，管理人可临时对每周固定开放的三个工作日进行调整，但应提前一周公告投资者。</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预警止损安排</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本集合计划设置预警线、平仓线。将集合计划单位净值为</w:t>
            </w:r>
            <w:r>
              <w:rPr>
                <w:rFonts w:ascii="楷体_GB2312" w:eastAsia="楷体_GB2312" w:hAnsi="仿宋" w:cs="宋体" w:hint="eastAsia"/>
                <w:color w:val="000000"/>
                <w:kern w:val="0"/>
                <w:szCs w:val="21"/>
              </w:rPr>
              <w:t>0.96</w:t>
            </w:r>
            <w:r>
              <w:rPr>
                <w:rFonts w:ascii="楷体_GB2312" w:eastAsia="楷体_GB2312" w:hAnsi="仿宋" w:cs="宋体" w:hint="eastAsia"/>
                <w:color w:val="000000"/>
                <w:kern w:val="0"/>
                <w:szCs w:val="21"/>
              </w:rPr>
              <w:t>元设置为预警线，</w:t>
            </w:r>
            <w:r>
              <w:rPr>
                <w:rFonts w:ascii="楷体_GB2312" w:eastAsia="楷体_GB2312" w:hAnsi="仿宋" w:cs="宋体" w:hint="eastAsia"/>
                <w:color w:val="000000"/>
                <w:kern w:val="0"/>
                <w:szCs w:val="21"/>
              </w:rPr>
              <w:t>0.94</w:t>
            </w:r>
            <w:r>
              <w:rPr>
                <w:rFonts w:ascii="楷体_GB2312" w:eastAsia="楷体_GB2312" w:hAnsi="仿宋" w:cs="宋体" w:hint="eastAsia"/>
                <w:color w:val="000000"/>
                <w:kern w:val="0"/>
                <w:szCs w:val="21"/>
              </w:rPr>
              <w:t>元设置为平仓线。</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、预警线</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）本集合计划运行期间，当某一交易日（</w:t>
            </w:r>
            <w:r>
              <w:rPr>
                <w:rFonts w:ascii="楷体_GB2312" w:eastAsia="楷体_GB2312" w:hAnsi="仿宋" w:cs="宋体" w:hint="eastAsia"/>
                <w:color w:val="000000"/>
                <w:kern w:val="0"/>
                <w:szCs w:val="21"/>
              </w:rPr>
              <w:t>T</w:t>
            </w:r>
            <w:r>
              <w:rPr>
                <w:rFonts w:ascii="楷体_GB2312" w:eastAsia="楷体_GB2312" w:hAnsi="仿宋" w:cs="宋体" w:hint="eastAsia"/>
                <w:color w:val="000000"/>
                <w:kern w:val="0"/>
                <w:szCs w:val="21"/>
              </w:rPr>
              <w:t>日）估值结果显示该日集合计划单位净值等于或低于</w:t>
            </w:r>
            <w:r>
              <w:rPr>
                <w:rFonts w:ascii="楷体_GB2312" w:eastAsia="楷体_GB2312" w:hAnsi="仿宋" w:cs="宋体" w:hint="eastAsia"/>
                <w:color w:val="000000"/>
                <w:kern w:val="0"/>
                <w:szCs w:val="21"/>
              </w:rPr>
              <w:t>0.96</w:t>
            </w:r>
            <w:r>
              <w:rPr>
                <w:rFonts w:ascii="楷体_GB2312" w:eastAsia="楷体_GB2312" w:hAnsi="仿宋" w:cs="宋体" w:hint="eastAsia"/>
                <w:color w:val="000000"/>
                <w:kern w:val="0"/>
                <w:szCs w:val="21"/>
              </w:rPr>
              <w:t>元时，则本集合计划触及预警线，若托管人与管理人估值结果不一致的，估值结果以管理人计算结果为准。</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）自本集合计划触及预警线之日的下一个交易日（</w:t>
            </w:r>
            <w:r>
              <w:rPr>
                <w:rFonts w:ascii="楷体_GB2312" w:eastAsia="楷体_GB2312" w:hAnsi="仿宋" w:cs="宋体" w:hint="eastAsia"/>
                <w:color w:val="000000"/>
                <w:kern w:val="0"/>
                <w:szCs w:val="21"/>
              </w:rPr>
              <w:t>T+1</w:t>
            </w:r>
            <w:r>
              <w:rPr>
                <w:rFonts w:ascii="楷体_GB2312" w:eastAsia="楷体_GB2312" w:hAnsi="仿宋" w:cs="宋体" w:hint="eastAsia"/>
                <w:color w:val="000000"/>
                <w:kern w:val="0"/>
                <w:szCs w:val="21"/>
              </w:rPr>
              <w:t>日）起，管理人仅做卖出或赎回的投资交易，或继续持有，不进行买入或申购的投资交易。直至集合计划单位净值恢复至</w:t>
            </w:r>
            <w:r>
              <w:rPr>
                <w:rFonts w:ascii="楷体_GB2312" w:eastAsia="楷体_GB2312" w:hAnsi="仿宋" w:cs="宋体" w:hint="eastAsia"/>
                <w:color w:val="000000"/>
                <w:kern w:val="0"/>
                <w:szCs w:val="21"/>
              </w:rPr>
              <w:t>0.96</w:t>
            </w:r>
            <w:r>
              <w:rPr>
                <w:rFonts w:ascii="楷体_GB2312" w:eastAsia="楷体_GB2312" w:hAnsi="仿宋" w:cs="宋体" w:hint="eastAsia"/>
                <w:color w:val="000000"/>
                <w:kern w:val="0"/>
                <w:szCs w:val="21"/>
              </w:rPr>
              <w:t>元（含）以上时，取消以上投资限制。</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、平仓线</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）本集合计划运行期间，当某一交易日（</w:t>
            </w:r>
            <w:r>
              <w:rPr>
                <w:rFonts w:ascii="楷体_GB2312" w:eastAsia="楷体_GB2312" w:hAnsi="仿宋" w:cs="宋体" w:hint="eastAsia"/>
                <w:color w:val="000000"/>
                <w:kern w:val="0"/>
                <w:szCs w:val="21"/>
              </w:rPr>
              <w:t>T</w:t>
            </w:r>
            <w:r>
              <w:rPr>
                <w:rFonts w:ascii="楷体_GB2312" w:eastAsia="楷体_GB2312" w:hAnsi="仿宋" w:cs="宋体" w:hint="eastAsia"/>
                <w:color w:val="000000"/>
                <w:kern w:val="0"/>
                <w:szCs w:val="21"/>
              </w:rPr>
              <w:t>日）估值结果显示该日集合计划单位净值等于或低于</w:t>
            </w:r>
            <w:r>
              <w:rPr>
                <w:rFonts w:ascii="楷体_GB2312" w:eastAsia="楷体_GB2312" w:hAnsi="仿宋" w:cs="宋体" w:hint="eastAsia"/>
                <w:color w:val="000000"/>
                <w:kern w:val="0"/>
                <w:szCs w:val="21"/>
              </w:rPr>
              <w:t>0.94</w:t>
            </w:r>
            <w:r>
              <w:rPr>
                <w:rFonts w:ascii="楷体_GB2312" w:eastAsia="楷体_GB2312" w:hAnsi="仿宋" w:cs="宋体" w:hint="eastAsia"/>
                <w:color w:val="000000"/>
                <w:kern w:val="0"/>
                <w:szCs w:val="21"/>
              </w:rPr>
              <w:t>元时，则</w:t>
            </w:r>
            <w:r>
              <w:rPr>
                <w:rFonts w:ascii="楷体_GB2312" w:eastAsia="楷体_GB2312" w:hAnsi="仿宋" w:cs="宋体" w:hint="eastAsia"/>
                <w:color w:val="000000"/>
                <w:kern w:val="0"/>
                <w:szCs w:val="21"/>
              </w:rPr>
              <w:t>本集合计划触及平仓线，若托管人与管理人估值结果不一致的，估值结果以管理人计算结果为准。</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）自本集合计划触及平仓线之日的下一个交易日（</w:t>
            </w:r>
            <w:r>
              <w:rPr>
                <w:rFonts w:ascii="楷体_GB2312" w:eastAsia="楷体_GB2312" w:hAnsi="仿宋" w:cs="宋体" w:hint="eastAsia"/>
                <w:color w:val="000000"/>
                <w:kern w:val="0"/>
                <w:szCs w:val="21"/>
              </w:rPr>
              <w:t>T+1</w:t>
            </w:r>
            <w:r>
              <w:rPr>
                <w:rFonts w:ascii="楷体_GB2312" w:eastAsia="楷体_GB2312" w:hAnsi="仿宋" w:cs="宋体" w:hint="eastAsia"/>
                <w:color w:val="000000"/>
                <w:kern w:val="0"/>
                <w:szCs w:val="21"/>
              </w:rPr>
              <w:t>日）起，管理人将对本集合计划持有的全部非现金资产进行不可逆变现，直至集合计划资产全部变现为止。管理人有权根据集合计划财产变现情况，宣布本集合计划提前终止。</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费</w:t>
            </w:r>
            <w:r>
              <w:rPr>
                <w:rFonts w:ascii="楷体_GB2312" w:eastAsia="楷体_GB2312" w:hAnsi="仿宋" w:cs="宋体" w:hint="eastAsia"/>
                <w:b/>
                <w:color w:val="000000"/>
                <w:kern w:val="0"/>
                <w:szCs w:val="21"/>
              </w:rPr>
              <w:t xml:space="preserve">    </w:t>
            </w:r>
            <w:r>
              <w:rPr>
                <w:rFonts w:ascii="楷体_GB2312" w:eastAsia="楷体_GB2312" w:hAnsi="仿宋" w:cs="宋体" w:hint="eastAsia"/>
                <w:b/>
                <w:color w:val="000000"/>
                <w:kern w:val="0"/>
                <w:szCs w:val="21"/>
              </w:rPr>
              <w:t>率</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产品无参与、退出费，年托管费率为</w:t>
            </w:r>
            <w:r>
              <w:rPr>
                <w:rFonts w:ascii="楷体_GB2312" w:eastAsia="楷体_GB2312" w:hAnsi="仿宋" w:cs="宋体" w:hint="eastAsia"/>
                <w:color w:val="000000"/>
                <w:kern w:val="0"/>
                <w:szCs w:val="21"/>
              </w:rPr>
              <w:t>0.0</w:t>
            </w:r>
            <w:r>
              <w:rPr>
                <w:rFonts w:ascii="楷体_GB2312" w:eastAsia="楷体_GB2312" w:hAnsi="仿宋" w:cs="宋体"/>
                <w:color w:val="000000"/>
                <w:kern w:val="0"/>
                <w:szCs w:val="21"/>
              </w:rPr>
              <w:t>1</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。按前一日资产净值计算，逐日计提，按季支付。固定年管理费率为</w:t>
            </w:r>
            <w:r>
              <w:rPr>
                <w:rFonts w:ascii="楷体_GB2312" w:eastAsia="楷体_GB2312" w:hAnsi="仿宋" w:cs="宋体" w:hint="eastAsia"/>
                <w:color w:val="000000"/>
                <w:kern w:val="0"/>
                <w:szCs w:val="21"/>
              </w:rPr>
              <w:t>0.15%</w:t>
            </w:r>
            <w:r>
              <w:rPr>
                <w:rFonts w:ascii="楷体_GB2312" w:eastAsia="楷体_GB2312" w:hAnsi="仿宋" w:cs="宋体" w:hint="eastAsia"/>
                <w:color w:val="000000"/>
                <w:kern w:val="0"/>
                <w:szCs w:val="21"/>
              </w:rPr>
              <w:t>。按前一日资产净值计算，逐日计提，按季支付。</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管理人于业绩报酬计提日，将按份额认</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申</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购时间的不同，针对投资者每笔份额分别核算其业绩报酬核算期。业绩报酬核算期是指针对投资者所持有的每笔份额，自上一个业绩报酬计提日至本次业绩报酬计提日期间。如业绩报酬核算期中上一个业绩报酬计提日不存在，则为本集合计划成立日或投资者该笔份额申购确认日。</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管理人根据当个业绩报酬核算期的投资者每笔份额实际年化收益率（</w:t>
            </w:r>
            <w:r>
              <w:rPr>
                <w:rFonts w:ascii="楷体_GB2312" w:eastAsia="楷体_GB2312" w:hAnsi="仿宋" w:cs="宋体" w:hint="eastAsia"/>
                <w:color w:val="000000"/>
                <w:kern w:val="0"/>
                <w:szCs w:val="21"/>
              </w:rPr>
              <w:t>R</w:t>
            </w:r>
            <w:r>
              <w:rPr>
                <w:rFonts w:ascii="楷体_GB2312" w:eastAsia="楷体_GB2312" w:hAnsi="仿宋" w:cs="宋体" w:hint="eastAsia"/>
                <w:color w:val="000000"/>
                <w:kern w:val="0"/>
                <w:szCs w:val="21"/>
              </w:rPr>
              <w:t>）情况，分段计提业绩报酬（</w:t>
            </w:r>
            <w:r>
              <w:rPr>
                <w:rFonts w:ascii="楷体_GB2312" w:eastAsia="楷体_GB2312" w:hAnsi="仿宋" w:cs="宋体" w:hint="eastAsia"/>
                <w:color w:val="000000"/>
                <w:kern w:val="0"/>
                <w:szCs w:val="21"/>
              </w:rPr>
              <w:t>H</w:t>
            </w:r>
            <w:r>
              <w:rPr>
                <w:rFonts w:ascii="楷体_GB2312" w:eastAsia="楷体_GB2312" w:hAnsi="仿宋" w:cs="宋体" w:hint="eastAsia"/>
                <w:color w:val="000000"/>
                <w:kern w:val="0"/>
                <w:szCs w:val="21"/>
              </w:rPr>
              <w:t>），投资者所持份额以认</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申</w:t>
            </w:r>
            <w:r>
              <w:rPr>
                <w:rFonts w:ascii="楷体_GB2312" w:eastAsia="楷体_GB2312" w:hAnsi="仿宋" w:cs="宋体" w:hint="eastAsia"/>
                <w:color w:val="000000"/>
                <w:kern w:val="0"/>
                <w:szCs w:val="21"/>
              </w:rPr>
              <w:t>)</w:t>
            </w:r>
            <w:r>
              <w:rPr>
                <w:rFonts w:ascii="楷体_GB2312" w:eastAsia="楷体_GB2312" w:hAnsi="仿宋" w:cs="宋体" w:hint="eastAsia"/>
                <w:color w:val="000000"/>
                <w:kern w:val="0"/>
                <w:szCs w:val="21"/>
              </w:rPr>
              <w:t>购时间的不同分别进行业绩报酬的核算和计提。</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退出分配</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1</w:t>
            </w:r>
            <w:r>
              <w:rPr>
                <w:rFonts w:ascii="楷体_GB2312" w:eastAsia="楷体_GB2312" w:hAnsi="仿宋" w:cs="宋体" w:hint="eastAsia"/>
                <w:color w:val="000000"/>
                <w:kern w:val="0"/>
                <w:szCs w:val="21"/>
              </w:rPr>
              <w:t>、本集合计划不设置业绩比较基准。</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2</w:t>
            </w:r>
            <w:r>
              <w:rPr>
                <w:rFonts w:ascii="楷体_GB2312" w:eastAsia="楷体_GB2312" w:hAnsi="仿宋" w:cs="宋体" w:hint="eastAsia"/>
                <w:color w:val="000000"/>
                <w:kern w:val="0"/>
                <w:szCs w:val="21"/>
              </w:rPr>
              <w:t>、退出的方式</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退出在开放期办理，投资者通过份额赎回的方式退出本集合计划。</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投资者应在开放期根据管理人公告和集合计划销售机构规定的手续，向集合计划销售机构提出退出的申请，集合计划按规定限制或暂停退出的情况除外。</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3</w:t>
            </w:r>
            <w:r>
              <w:rPr>
                <w:rFonts w:ascii="楷体_GB2312" w:eastAsia="楷体_GB2312" w:hAnsi="仿宋" w:cs="宋体" w:hint="eastAsia"/>
                <w:color w:val="000000"/>
                <w:kern w:val="0"/>
                <w:szCs w:val="21"/>
              </w:rPr>
              <w:t>、退出的价格</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退出集合计划份额的价格以投资者退出申请当日（</w:t>
            </w:r>
            <w:r>
              <w:rPr>
                <w:rFonts w:ascii="楷体_GB2312" w:eastAsia="楷体_GB2312" w:hAnsi="仿宋" w:cs="宋体" w:hint="eastAsia"/>
                <w:color w:val="000000"/>
                <w:kern w:val="0"/>
                <w:szCs w:val="21"/>
              </w:rPr>
              <w:t>T</w:t>
            </w:r>
            <w:r>
              <w:rPr>
                <w:rFonts w:ascii="楷体_GB2312" w:eastAsia="楷体_GB2312" w:hAnsi="仿宋" w:cs="宋体" w:hint="eastAsia"/>
                <w:color w:val="000000"/>
                <w:kern w:val="0"/>
                <w:szCs w:val="21"/>
              </w:rPr>
              <w:t>日）集合计划的单位净值为基准进行计算。</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巨额退出</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集合计划开放期内，若一个工作日内的集合计划净退出申请（退出申请总份额减去申购申请总份额后的余额）超过前一日集合计划总份额的</w:t>
            </w:r>
            <w:r>
              <w:rPr>
                <w:rFonts w:ascii="楷体_GB2312" w:eastAsia="楷体_GB2312" w:hAnsi="仿宋" w:cs="宋体"/>
                <w:color w:val="000000"/>
                <w:kern w:val="0"/>
                <w:szCs w:val="21"/>
              </w:rPr>
              <w:t>1</w:t>
            </w:r>
            <w:r>
              <w:rPr>
                <w:rFonts w:ascii="楷体_GB2312" w:eastAsia="楷体_GB2312" w:hAnsi="仿宋" w:cs="宋体" w:hint="eastAsia"/>
                <w:color w:val="000000"/>
                <w:kern w:val="0"/>
                <w:szCs w:val="21"/>
              </w:rPr>
              <w:t>0%</w:t>
            </w:r>
            <w:r>
              <w:rPr>
                <w:rFonts w:ascii="楷体_GB2312" w:eastAsia="楷体_GB2312" w:hAnsi="仿宋" w:cs="宋体" w:hint="eastAsia"/>
                <w:color w:val="000000"/>
                <w:kern w:val="0"/>
                <w:szCs w:val="21"/>
              </w:rPr>
              <w:t>，即认为发生了巨额退出。</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当出现巨额退出时，管理人可以根据本集合计划当时的资产组合状况决定全额退出或部分退出。</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估值安排</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集合计划成立后的每个沪、深交易所的交易日为估值日。</w:t>
            </w:r>
          </w:p>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集合计划每日披露一次经托管人复核的集合计划的单位净值和单位累计净值。</w:t>
            </w:r>
          </w:p>
        </w:tc>
      </w:tr>
      <w:tr w:rsidR="00066166">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6166" w:rsidRDefault="00F62BD0">
            <w:pPr>
              <w:widowControl/>
              <w:jc w:val="center"/>
              <w:rPr>
                <w:rFonts w:ascii="楷体_GB2312" w:eastAsia="楷体_GB2312" w:hAnsi="仿宋" w:cs="宋体"/>
                <w:b/>
                <w:color w:val="000000"/>
                <w:kern w:val="0"/>
                <w:szCs w:val="21"/>
              </w:rPr>
            </w:pPr>
            <w:r>
              <w:rPr>
                <w:rFonts w:ascii="楷体_GB2312" w:eastAsia="楷体_GB2312" w:hAnsi="仿宋" w:cs="宋体" w:hint="eastAsia"/>
                <w:b/>
                <w:color w:val="000000"/>
                <w:kern w:val="0"/>
                <w:szCs w:val="21"/>
              </w:rPr>
              <w:t>争议解决方式</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rsidR="00066166" w:rsidRDefault="00F62BD0">
            <w:pPr>
              <w:widowControl/>
              <w:jc w:val="left"/>
              <w:rPr>
                <w:rFonts w:ascii="楷体_GB2312" w:eastAsia="楷体_GB2312" w:hAnsi="仿宋" w:cs="宋体"/>
                <w:color w:val="000000"/>
                <w:kern w:val="0"/>
                <w:szCs w:val="21"/>
              </w:rPr>
            </w:pPr>
            <w:r>
              <w:rPr>
                <w:rFonts w:ascii="楷体_GB2312" w:eastAsia="楷体_GB2312" w:hAnsi="仿宋" w:cs="宋体" w:hint="eastAsia"/>
                <w:color w:val="000000"/>
                <w:kern w:val="0"/>
                <w:szCs w:val="21"/>
              </w:rPr>
              <w:t>因履行合同发生的争议，由协议签订各方协商解决，协商不成的，各方应向</w:t>
            </w:r>
            <w:bookmarkStart w:id="386" w:name="_Hlk89272049"/>
            <w:r>
              <w:rPr>
                <w:rFonts w:ascii="楷体_GB2312" w:eastAsia="楷体_GB2312" w:hAnsi="仿宋" w:cs="宋体" w:hint="eastAsia"/>
                <w:color w:val="000000"/>
                <w:kern w:val="0"/>
                <w:szCs w:val="21"/>
              </w:rPr>
              <w:t>管理人住所地</w:t>
            </w:r>
            <w:bookmarkEnd w:id="386"/>
            <w:r>
              <w:rPr>
                <w:rFonts w:ascii="楷体_GB2312" w:eastAsia="楷体_GB2312" w:hAnsi="仿宋" w:cs="宋体" w:hint="eastAsia"/>
                <w:color w:val="000000"/>
                <w:kern w:val="0"/>
                <w:szCs w:val="21"/>
              </w:rPr>
              <w:t>人民法院提起诉讼。</w:t>
            </w:r>
          </w:p>
        </w:tc>
      </w:tr>
    </w:tbl>
    <w:p w:rsidR="00066166" w:rsidRDefault="00F62BD0">
      <w:pPr>
        <w:pStyle w:val="NormalJustified"/>
        <w:widowControl w:val="0"/>
        <w:tabs>
          <w:tab w:val="left" w:pos="851"/>
        </w:tabs>
        <w:spacing w:beforeLines="100" w:before="312" w:afterLines="100" w:after="312" w:line="300" w:lineRule="auto"/>
        <w:rPr>
          <w:rFonts w:ascii="楷体_GB2312" w:eastAsia="楷体_GB2312" w:hAnsi="仿宋" w:cs="宋体"/>
          <w:color w:val="000000" w:themeColor="text1"/>
          <w:kern w:val="0"/>
          <w:sz w:val="21"/>
          <w:szCs w:val="21"/>
        </w:rPr>
      </w:pPr>
      <w:r>
        <w:rPr>
          <w:rFonts w:ascii="楷体_GB2312" w:eastAsia="楷体_GB2312" w:hAnsi="仿宋" w:cs="宋体" w:hint="eastAsia"/>
          <w:color w:val="000000" w:themeColor="text1"/>
          <w:kern w:val="0"/>
          <w:sz w:val="21"/>
          <w:szCs w:val="21"/>
        </w:rPr>
        <w:t>（标的资管产品的基本要素具体以标的资管产品合同为准）</w:t>
      </w:r>
    </w:p>
    <w:sectPr w:rsidR="000661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D0" w:rsidRDefault="00F62BD0">
      <w:r>
        <w:separator/>
      </w:r>
    </w:p>
  </w:endnote>
  <w:endnote w:type="continuationSeparator" w:id="0">
    <w:p w:rsidR="00F62BD0" w:rsidRDefault="00F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汉仪大黑简">
    <w:altName w:val="黑体"/>
    <w:charset w:val="86"/>
    <w:family w:val="auto"/>
    <w:pitch w:val="default"/>
    <w:sig w:usb0="00000000" w:usb1="00000000" w:usb2="00000002" w:usb3="00000000" w:csb0="00040000" w:csb1="00000000"/>
  </w:font>
  <w:font w:name="HYa3gj">
    <w:altName w:val="宋体"/>
    <w:charset w:val="86"/>
    <w:family w:val="auto"/>
    <w:pitch w:val="default"/>
    <w:sig w:usb0="00000000" w:usb1="00000000" w:usb2="00000010" w:usb3="00000000" w:csb0="00040000" w:csb1="00000000"/>
  </w:font>
  <w:font w:name="HYa1gj">
    <w:altName w:val="宋体"/>
    <w:charset w:val="86"/>
    <w:family w:val="auto"/>
    <w:pitch w:val="default"/>
    <w:sig w:usb0="00000000" w:usb1="00000000" w:usb2="00000010" w:usb3="00000000" w:csb0="00040000" w:csb1="00000000"/>
  </w:font>
  <w:font w:name="HYa4gj">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66" w:rsidRDefault="00F62BD0">
    <w:pPr>
      <w:pStyle w:val="aa"/>
      <w:framePr w:wrap="around" w:vAnchor="text" w:hAnchor="margin" w:xAlign="center" w:y="1"/>
      <w:rPr>
        <w:rStyle w:val="af"/>
      </w:rPr>
    </w:pPr>
    <w:r>
      <w:fldChar w:fldCharType="begin"/>
    </w:r>
    <w:r>
      <w:rPr>
        <w:rStyle w:val="af"/>
      </w:rPr>
      <w:instrText xml:space="preserve">PAGE  </w:instrText>
    </w:r>
    <w:r>
      <w:fldChar w:fldCharType="end"/>
    </w:r>
  </w:p>
  <w:p w:rsidR="00066166" w:rsidRDefault="0006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66" w:rsidRDefault="00F62BD0">
    <w:pPr>
      <w:pStyle w:val="aa"/>
      <w:framePr w:wrap="around" w:vAnchor="text" w:hAnchor="margin" w:xAlign="center" w:y="1"/>
      <w:rPr>
        <w:rStyle w:val="af"/>
        <w:kern w:val="2"/>
        <w:sz w:val="21"/>
        <w:szCs w:val="24"/>
      </w:rPr>
    </w:pPr>
    <w:r>
      <w:fldChar w:fldCharType="begin"/>
    </w:r>
    <w:r>
      <w:rPr>
        <w:rStyle w:val="af"/>
      </w:rPr>
      <w:instrText xml:space="preserve">PAGE  </w:instrText>
    </w:r>
    <w:r>
      <w:fldChar w:fldCharType="separate"/>
    </w:r>
    <w:r w:rsidR="00CD1B23">
      <w:rPr>
        <w:rStyle w:val="af"/>
        <w:noProof/>
      </w:rPr>
      <w:t>49</w:t>
    </w:r>
    <w:r>
      <w:fldChar w:fldCharType="end"/>
    </w:r>
  </w:p>
  <w:p w:rsidR="00066166" w:rsidRDefault="0006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66" w:rsidRDefault="00066166">
    <w:pPr>
      <w:pStyle w:val="aa"/>
      <w:jc w:val="center"/>
    </w:pPr>
  </w:p>
  <w:p w:rsidR="00066166" w:rsidRDefault="0006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D0" w:rsidRDefault="00F62BD0">
      <w:r>
        <w:separator/>
      </w:r>
    </w:p>
  </w:footnote>
  <w:footnote w:type="continuationSeparator" w:id="0">
    <w:p w:rsidR="00F62BD0" w:rsidRDefault="00F6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66" w:rsidRDefault="0006616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1D74F9"/>
    <w:multiLevelType w:val="multilevel"/>
    <w:tmpl w:val="001D74F9"/>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3311D3C"/>
    <w:multiLevelType w:val="multilevel"/>
    <w:tmpl w:val="03311D3C"/>
    <w:lvl w:ilvl="0">
      <w:start w:val="1"/>
      <w:numFmt w:val="decimal"/>
      <w:lvlText w:val="(%1)"/>
      <w:lvlJc w:val="left"/>
      <w:pPr>
        <w:ind w:left="1138" w:hanging="420"/>
      </w:pPr>
      <w:rPr>
        <w:rFonts w:hint="default"/>
        <w:b w:val="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3">
    <w:nsid w:val="070736FD"/>
    <w:multiLevelType w:val="multilevel"/>
    <w:tmpl w:val="070736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7283C9D"/>
    <w:multiLevelType w:val="multilevel"/>
    <w:tmpl w:val="07283C9D"/>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08DD2D5D"/>
    <w:multiLevelType w:val="multilevel"/>
    <w:tmpl w:val="08DD2D5D"/>
    <w:lvl w:ilvl="0">
      <w:start w:val="1"/>
      <w:numFmt w:val="decimal"/>
      <w:lvlText w:val="%1"/>
      <w:lvlJc w:val="left"/>
      <w:pPr>
        <w:tabs>
          <w:tab w:val="left" w:pos="425"/>
        </w:tabs>
        <w:ind w:left="425" w:hanging="425"/>
      </w:pPr>
      <w:rPr>
        <w:rFonts w:hint="eastAsia"/>
        <w:b/>
      </w:rPr>
    </w:lvl>
    <w:lvl w:ilvl="1">
      <w:start w:val="1"/>
      <w:numFmt w:val="decimal"/>
      <w:pStyle w:val="a"/>
      <w:lvlText w:val="%1.%2"/>
      <w:lvlJc w:val="left"/>
      <w:pPr>
        <w:tabs>
          <w:tab w:val="left" w:pos="992"/>
        </w:tabs>
        <w:ind w:left="992" w:hanging="567"/>
      </w:pPr>
      <w:rPr>
        <w:rFonts w:ascii="Times New Roman" w:hAnsi="Times New Roman" w:cs="Times New Roman" w:hint="default"/>
        <w:b/>
      </w:rPr>
    </w:lvl>
    <w:lvl w:ilvl="2">
      <w:start w:val="1"/>
      <w:numFmt w:val="decimal"/>
      <w:lvlText w:val="%1.%2.%3"/>
      <w:lvlJc w:val="left"/>
      <w:pPr>
        <w:tabs>
          <w:tab w:val="left" w:pos="1418"/>
        </w:tabs>
        <w:ind w:left="1418" w:hanging="567"/>
      </w:pPr>
      <w:rPr>
        <w:rFonts w:hint="eastAsia"/>
        <w:b/>
        <w:color w:val="auto"/>
      </w:rPr>
    </w:lvl>
    <w:lvl w:ilvl="3">
      <w:start w:val="1"/>
      <w:numFmt w:val="decimal"/>
      <w:lvlText w:val="(%4)"/>
      <w:lvlJc w:val="left"/>
      <w:pPr>
        <w:tabs>
          <w:tab w:val="left" w:pos="1651"/>
        </w:tabs>
        <w:ind w:left="1651" w:hanging="375"/>
      </w:pPr>
      <w:rPr>
        <w:rFonts w:ascii="Times New Roman" w:hAnsi="Times New Roman" w:cs="Times New Roman" w:hint="default"/>
        <w:b w:val="0"/>
        <w:color w:val="auto"/>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C6E1630"/>
    <w:multiLevelType w:val="multilevel"/>
    <w:tmpl w:val="0C6E1630"/>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0D233966"/>
    <w:multiLevelType w:val="multilevel"/>
    <w:tmpl w:val="0D233966"/>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10874002"/>
    <w:multiLevelType w:val="multilevel"/>
    <w:tmpl w:val="10874002"/>
    <w:lvl w:ilvl="0">
      <w:start w:val="1"/>
      <w:numFmt w:val="decimal"/>
      <w:lvlText w:val="(%1)"/>
      <w:lvlJc w:val="left"/>
      <w:pPr>
        <w:tabs>
          <w:tab w:val="left" w:pos="360"/>
        </w:tabs>
        <w:ind w:left="360" w:hanging="360"/>
      </w:pPr>
      <w:rPr>
        <w:rFont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4062A6"/>
    <w:multiLevelType w:val="multilevel"/>
    <w:tmpl w:val="124062A6"/>
    <w:lvl w:ilvl="0">
      <w:start w:val="1"/>
      <w:numFmt w:val="decimal"/>
      <w:lvlText w:val="(%1)"/>
      <w:lvlJc w:val="left"/>
      <w:pPr>
        <w:tabs>
          <w:tab w:val="left" w:pos="360"/>
        </w:tabs>
        <w:ind w:left="360" w:hanging="360"/>
      </w:pPr>
      <w:rPr>
        <w:rFonts w:hint="default"/>
      </w:rPr>
    </w:lvl>
    <w:lvl w:ilvl="1">
      <w:start w:val="1"/>
      <w:numFmt w:val="upperLetter"/>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565018C"/>
    <w:multiLevelType w:val="multilevel"/>
    <w:tmpl w:val="1565018C"/>
    <w:lvl w:ilvl="0">
      <w:start w:val="1"/>
      <w:numFmt w:val="decimal"/>
      <w:lvlText w:val="(%1)"/>
      <w:lvlJc w:val="left"/>
      <w:pPr>
        <w:ind w:left="1138"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11">
    <w:nsid w:val="161D1178"/>
    <w:multiLevelType w:val="multilevel"/>
    <w:tmpl w:val="161D117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0052695"/>
    <w:multiLevelType w:val="multilevel"/>
    <w:tmpl w:val="20052695"/>
    <w:lvl w:ilvl="0">
      <w:start w:val="1"/>
      <w:numFmt w:val="decimal"/>
      <w:lvlText w:val="(%1)"/>
      <w:lvlJc w:val="left"/>
      <w:pPr>
        <w:tabs>
          <w:tab w:val="left" w:pos="360"/>
        </w:tabs>
        <w:ind w:left="360" w:hanging="360"/>
      </w:pPr>
      <w:rPr>
        <w:rFont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475534"/>
    <w:multiLevelType w:val="multilevel"/>
    <w:tmpl w:val="25475534"/>
    <w:lvl w:ilvl="0">
      <w:start w:val="1"/>
      <w:numFmt w:val="decimal"/>
      <w:lvlText w:val="%1）"/>
      <w:lvlJc w:val="left"/>
      <w:pPr>
        <w:ind w:left="1619" w:hanging="360"/>
      </w:pPr>
      <w:rPr>
        <w:rFonts w:hint="default"/>
        <w:b/>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nsid w:val="27F360FE"/>
    <w:multiLevelType w:val="multilevel"/>
    <w:tmpl w:val="27F360FE"/>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nsid w:val="2B8C479C"/>
    <w:multiLevelType w:val="multilevel"/>
    <w:tmpl w:val="2B8C479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352B689F"/>
    <w:multiLevelType w:val="multilevel"/>
    <w:tmpl w:val="352B689F"/>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38083CC6"/>
    <w:multiLevelType w:val="multilevel"/>
    <w:tmpl w:val="38083CC6"/>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3A77241B"/>
    <w:multiLevelType w:val="multilevel"/>
    <w:tmpl w:val="3A77241B"/>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9">
    <w:nsid w:val="3DB50342"/>
    <w:multiLevelType w:val="multilevel"/>
    <w:tmpl w:val="3DB50342"/>
    <w:lvl w:ilvl="0">
      <w:start w:val="1"/>
      <w:numFmt w:val="decimal"/>
      <w:lvlText w:val="(%1)"/>
      <w:lvlJc w:val="left"/>
      <w:pPr>
        <w:tabs>
          <w:tab w:val="left" w:pos="2460"/>
        </w:tabs>
        <w:ind w:left="2460" w:hanging="360"/>
      </w:pPr>
      <w:rPr>
        <w:rFonts w:hint="default"/>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abstractNum w:abstractNumId="20">
    <w:nsid w:val="3EAD3A52"/>
    <w:multiLevelType w:val="multilevel"/>
    <w:tmpl w:val="3EAD3A52"/>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1">
    <w:nsid w:val="3FB40E08"/>
    <w:multiLevelType w:val="multilevel"/>
    <w:tmpl w:val="3FB40E08"/>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nsid w:val="400A141A"/>
    <w:multiLevelType w:val="multilevel"/>
    <w:tmpl w:val="400A141A"/>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nsid w:val="45CF4EB7"/>
    <w:multiLevelType w:val="multilevel"/>
    <w:tmpl w:val="45CF4EB7"/>
    <w:lvl w:ilvl="0">
      <w:start w:val="1"/>
      <w:numFmt w:val="decimal"/>
      <w:lvlText w:val="(%1)"/>
      <w:lvlJc w:val="left"/>
      <w:pPr>
        <w:tabs>
          <w:tab w:val="left" w:pos="3660"/>
        </w:tabs>
        <w:ind w:left="366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45FF1B65"/>
    <w:multiLevelType w:val="multilevel"/>
    <w:tmpl w:val="45FF1B65"/>
    <w:lvl w:ilvl="0">
      <w:start w:val="1"/>
      <w:numFmt w:val="decimal"/>
      <w:lvlText w:val="(%1)"/>
      <w:lvlJc w:val="left"/>
      <w:pPr>
        <w:ind w:left="1270"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25">
    <w:nsid w:val="4B1B1AE5"/>
    <w:multiLevelType w:val="multilevel"/>
    <w:tmpl w:val="4B1B1AE5"/>
    <w:lvl w:ilvl="0">
      <w:start w:val="1"/>
      <w:numFmt w:val="decimal"/>
      <w:lvlText w:val="(%1)"/>
      <w:lvlJc w:val="left"/>
      <w:pPr>
        <w:tabs>
          <w:tab w:val="left" w:pos="2700"/>
        </w:tabs>
        <w:ind w:left="2700" w:hanging="360"/>
      </w:pPr>
      <w:rPr>
        <w:rFonts w:hint="default"/>
        <w:color w:val="auto"/>
      </w:rPr>
    </w:lvl>
    <w:lvl w:ilvl="1">
      <w:start w:val="1"/>
      <w:numFmt w:val="lowerLetter"/>
      <w:lvlText w:val="%2)"/>
      <w:lvlJc w:val="left"/>
      <w:pPr>
        <w:tabs>
          <w:tab w:val="left" w:pos="3180"/>
        </w:tabs>
        <w:ind w:left="3180" w:hanging="420"/>
      </w:pPr>
    </w:lvl>
    <w:lvl w:ilvl="2">
      <w:start w:val="1"/>
      <w:numFmt w:val="lowerRoman"/>
      <w:lvlText w:val="%3."/>
      <w:lvlJc w:val="right"/>
      <w:pPr>
        <w:tabs>
          <w:tab w:val="left" w:pos="3600"/>
        </w:tabs>
        <w:ind w:left="3600" w:hanging="420"/>
      </w:pPr>
    </w:lvl>
    <w:lvl w:ilvl="3">
      <w:start w:val="1"/>
      <w:numFmt w:val="decimal"/>
      <w:lvlText w:val="%4."/>
      <w:lvlJc w:val="left"/>
      <w:pPr>
        <w:tabs>
          <w:tab w:val="left" w:pos="4020"/>
        </w:tabs>
        <w:ind w:left="4020" w:hanging="420"/>
      </w:pPr>
    </w:lvl>
    <w:lvl w:ilvl="4">
      <w:start w:val="1"/>
      <w:numFmt w:val="lowerLetter"/>
      <w:lvlText w:val="%5)"/>
      <w:lvlJc w:val="left"/>
      <w:pPr>
        <w:tabs>
          <w:tab w:val="left" w:pos="4440"/>
        </w:tabs>
        <w:ind w:left="4440" w:hanging="420"/>
      </w:pPr>
    </w:lvl>
    <w:lvl w:ilvl="5">
      <w:start w:val="1"/>
      <w:numFmt w:val="lowerRoman"/>
      <w:lvlText w:val="%6."/>
      <w:lvlJc w:val="right"/>
      <w:pPr>
        <w:tabs>
          <w:tab w:val="left" w:pos="4860"/>
        </w:tabs>
        <w:ind w:left="4860" w:hanging="420"/>
      </w:pPr>
    </w:lvl>
    <w:lvl w:ilvl="6">
      <w:start w:val="1"/>
      <w:numFmt w:val="decimal"/>
      <w:lvlText w:val="%7."/>
      <w:lvlJc w:val="left"/>
      <w:pPr>
        <w:tabs>
          <w:tab w:val="left" w:pos="5280"/>
        </w:tabs>
        <w:ind w:left="5280" w:hanging="420"/>
      </w:pPr>
    </w:lvl>
    <w:lvl w:ilvl="7">
      <w:start w:val="1"/>
      <w:numFmt w:val="lowerLetter"/>
      <w:lvlText w:val="%8)"/>
      <w:lvlJc w:val="left"/>
      <w:pPr>
        <w:tabs>
          <w:tab w:val="left" w:pos="5700"/>
        </w:tabs>
        <w:ind w:left="5700" w:hanging="420"/>
      </w:pPr>
    </w:lvl>
    <w:lvl w:ilvl="8">
      <w:start w:val="1"/>
      <w:numFmt w:val="lowerRoman"/>
      <w:lvlText w:val="%9."/>
      <w:lvlJc w:val="right"/>
      <w:pPr>
        <w:tabs>
          <w:tab w:val="left" w:pos="6120"/>
        </w:tabs>
        <w:ind w:left="6120" w:hanging="420"/>
      </w:pPr>
    </w:lvl>
  </w:abstractNum>
  <w:abstractNum w:abstractNumId="26">
    <w:nsid w:val="4E821C38"/>
    <w:multiLevelType w:val="multilevel"/>
    <w:tmpl w:val="4E821C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50395576"/>
    <w:multiLevelType w:val="multilevel"/>
    <w:tmpl w:val="50395576"/>
    <w:lvl w:ilvl="0">
      <w:start w:val="1"/>
      <w:numFmt w:val="decimal"/>
      <w:lvlText w:val="(%1)"/>
      <w:lvlJc w:val="left"/>
      <w:pPr>
        <w:ind w:left="1200" w:hanging="420"/>
      </w:pPr>
      <w:rPr>
        <w:rFonts w:hint="default"/>
        <w:b w:val="0"/>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8">
    <w:nsid w:val="532F6ACC"/>
    <w:multiLevelType w:val="multilevel"/>
    <w:tmpl w:val="532F6ACC"/>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nsid w:val="53C908A1"/>
    <w:multiLevelType w:val="multilevel"/>
    <w:tmpl w:val="53C908A1"/>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0">
    <w:nsid w:val="556A0F66"/>
    <w:multiLevelType w:val="multilevel"/>
    <w:tmpl w:val="556A0F66"/>
    <w:lvl w:ilvl="0">
      <w:start w:val="1"/>
      <w:numFmt w:val="chineseCountingThousand"/>
      <w:lvlText w:val="第%1条"/>
      <w:lvlJc w:val="left"/>
      <w:pPr>
        <w:tabs>
          <w:tab w:val="left" w:pos="425"/>
        </w:tabs>
        <w:ind w:left="425" w:hanging="425"/>
      </w:pPr>
      <w:rPr>
        <w:rFonts w:hint="eastAsia"/>
      </w:rPr>
    </w:lvl>
    <w:lvl w:ilvl="1">
      <w:start w:val="1"/>
      <w:numFmt w:val="decimal"/>
      <w:isLgl/>
      <w:lvlText w:val="%1.%2"/>
      <w:lvlJc w:val="left"/>
      <w:pPr>
        <w:tabs>
          <w:tab w:val="left" w:pos="1467"/>
        </w:tabs>
        <w:ind w:left="1467" w:hanging="567"/>
      </w:pPr>
      <w:rPr>
        <w:rFonts w:hint="eastAsia"/>
      </w:rPr>
    </w:lvl>
    <w:lvl w:ilvl="2">
      <w:start w:val="1"/>
      <w:numFmt w:val="decimal"/>
      <w:isLgl/>
      <w:lvlText w:val="%1.%2.%3"/>
      <w:lvlJc w:val="left"/>
      <w:pPr>
        <w:tabs>
          <w:tab w:val="left" w:pos="1418"/>
        </w:tabs>
        <w:ind w:left="1418" w:hanging="567"/>
      </w:pPr>
      <w:rPr>
        <w:rFonts w:hint="eastAsia"/>
      </w:rPr>
    </w:lvl>
    <w:lvl w:ilvl="3">
      <w:start w:val="1"/>
      <w:numFmt w:val="decimal"/>
      <w:isLg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nsid w:val="57B5781B"/>
    <w:multiLevelType w:val="multilevel"/>
    <w:tmpl w:val="57B5781B"/>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2">
    <w:nsid w:val="62EE7F88"/>
    <w:multiLevelType w:val="multilevel"/>
    <w:tmpl w:val="62EE7F88"/>
    <w:lvl w:ilvl="0">
      <w:start w:val="1"/>
      <w:numFmt w:val="decimal"/>
      <w:lvlText w:val="(%1)"/>
      <w:lvlJc w:val="left"/>
      <w:pPr>
        <w:ind w:left="1140" w:hanging="420"/>
      </w:pPr>
      <w:rPr>
        <w:rFonts w:hint="default"/>
        <w:b w:val="0"/>
      </w:rPr>
    </w:lvl>
    <w:lvl w:ilvl="1">
      <w:start w:val="1"/>
      <w:numFmt w:val="japaneseCounting"/>
      <w:lvlText w:val="（%2）"/>
      <w:lvlJc w:val="left"/>
      <w:pPr>
        <w:ind w:left="2424" w:hanging="1284"/>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nsid w:val="640E358B"/>
    <w:multiLevelType w:val="multilevel"/>
    <w:tmpl w:val="640E358B"/>
    <w:lvl w:ilvl="0">
      <w:start w:val="1"/>
      <w:numFmt w:val="decimal"/>
      <w:lvlText w:val="(%1)"/>
      <w:lvlJc w:val="left"/>
      <w:pPr>
        <w:ind w:left="1140" w:hanging="420"/>
      </w:pPr>
      <w:rPr>
        <w:rFonts w:hint="default"/>
        <w:b w:val="0"/>
      </w:rPr>
    </w:lvl>
    <w:lvl w:ilvl="1">
      <w:start w:val="1"/>
      <w:numFmt w:val="japaneseCounting"/>
      <w:lvlText w:val="（%2）"/>
      <w:lvlJc w:val="left"/>
      <w:pPr>
        <w:ind w:left="2424" w:hanging="1284"/>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4">
    <w:nsid w:val="671303B3"/>
    <w:multiLevelType w:val="multilevel"/>
    <w:tmpl w:val="671303B3"/>
    <w:lvl w:ilvl="0">
      <w:start w:val="1"/>
      <w:numFmt w:val="decimal"/>
      <w:lvlText w:val="(%1)"/>
      <w:lvlJc w:val="left"/>
      <w:pPr>
        <w:ind w:left="1138"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35">
    <w:nsid w:val="699F4BC9"/>
    <w:multiLevelType w:val="multilevel"/>
    <w:tmpl w:val="699F4BC9"/>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6">
    <w:nsid w:val="6AC314A4"/>
    <w:multiLevelType w:val="multilevel"/>
    <w:tmpl w:val="6AC314A4"/>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7">
    <w:nsid w:val="6BA44A74"/>
    <w:multiLevelType w:val="multilevel"/>
    <w:tmpl w:val="6BA44A74"/>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8">
    <w:nsid w:val="75075F5D"/>
    <w:multiLevelType w:val="multilevel"/>
    <w:tmpl w:val="75075F5D"/>
    <w:lvl w:ilvl="0">
      <w:start w:val="1"/>
      <w:numFmt w:val="decimal"/>
      <w:lvlText w:val="(%1)"/>
      <w:lvlJc w:val="left"/>
      <w:pPr>
        <w:tabs>
          <w:tab w:val="left" w:pos="2460"/>
        </w:tabs>
        <w:ind w:left="2460" w:hanging="360"/>
      </w:pPr>
      <w:rPr>
        <w:rFonts w:hint="default"/>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abstractNum w:abstractNumId="39">
    <w:nsid w:val="78AF14EF"/>
    <w:multiLevelType w:val="multilevel"/>
    <w:tmpl w:val="78AF14EF"/>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0">
    <w:nsid w:val="79D06EA6"/>
    <w:multiLevelType w:val="multilevel"/>
    <w:tmpl w:val="79D06EA6"/>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1">
    <w:nsid w:val="7EDD2D1E"/>
    <w:multiLevelType w:val="multilevel"/>
    <w:tmpl w:val="7EDD2D1E"/>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0"/>
    <w:lvlOverride w:ilvl="0">
      <w:lvl w:ilvl="0" w:tentative="1">
        <w:start w:val="1"/>
        <w:numFmt w:val="chineseCountingThousand"/>
        <w:lvlText w:val="第%1条"/>
        <w:lvlJc w:val="left"/>
        <w:pPr>
          <w:tabs>
            <w:tab w:val="left" w:pos="2552"/>
          </w:tabs>
          <w:ind w:left="2552" w:hanging="425"/>
        </w:pPr>
        <w:rPr>
          <w:rFonts w:hint="eastAsia"/>
        </w:rPr>
      </w:lvl>
    </w:lvlOverride>
    <w:lvlOverride w:ilvl="1">
      <w:lvl w:ilvl="1">
        <w:start w:val="1"/>
        <w:numFmt w:val="decimal"/>
        <w:isLgl/>
        <w:lvlText w:val="%1.%2"/>
        <w:lvlJc w:val="left"/>
        <w:pPr>
          <w:tabs>
            <w:tab w:val="left" w:pos="5387"/>
          </w:tabs>
          <w:ind w:left="538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567"/>
          </w:tabs>
          <w:ind w:left="567" w:hanging="567"/>
        </w:pPr>
        <w:rPr>
          <w:rFonts w:hint="eastAsia"/>
          <w:b w:val="0"/>
          <w:color w:val="000000"/>
        </w:rPr>
      </w:lvl>
    </w:lvlOverride>
    <w:lvlOverride w:ilvl="3">
      <w:lvl w:ilvl="3" w:tentative="1">
        <w:start w:val="1"/>
        <w:numFmt w:val="decimal"/>
        <w:isLgl/>
        <w:lvlText w:val="%1.%2.%3.%4"/>
        <w:lvlJc w:val="left"/>
        <w:pPr>
          <w:tabs>
            <w:tab w:val="left" w:pos="1984"/>
          </w:tabs>
          <w:ind w:left="1984" w:hanging="708"/>
        </w:pPr>
        <w:rPr>
          <w:rFonts w:hint="eastAsia"/>
        </w:rPr>
      </w:lvl>
    </w:lvlOverride>
    <w:lvlOverride w:ilvl="4">
      <w:lvl w:ilvl="4" w:tentative="1">
        <w:start w:val="1"/>
        <w:numFmt w:val="decimal"/>
        <w:lvlText w:val="%1.%2.%3.%4.%5"/>
        <w:lvlJc w:val="left"/>
        <w:pPr>
          <w:tabs>
            <w:tab w:val="left" w:pos="2551"/>
          </w:tabs>
          <w:ind w:left="2551" w:hanging="850"/>
        </w:pPr>
        <w:rPr>
          <w:rFonts w:hint="eastAsia"/>
        </w:rPr>
      </w:lvl>
    </w:lvlOverride>
    <w:lvlOverride w:ilvl="5">
      <w:lvl w:ilvl="5" w:tentative="1">
        <w:start w:val="1"/>
        <w:numFmt w:val="decimal"/>
        <w:lvlText w:val="%1.%2.%3.%4.%5.%6"/>
        <w:lvlJc w:val="left"/>
        <w:pPr>
          <w:tabs>
            <w:tab w:val="left" w:pos="3260"/>
          </w:tabs>
          <w:ind w:left="3260" w:hanging="1134"/>
        </w:pPr>
        <w:rPr>
          <w:rFonts w:hint="eastAsia"/>
        </w:rPr>
      </w:lvl>
    </w:lvlOverride>
    <w:lvlOverride w:ilvl="6">
      <w:lvl w:ilvl="6" w:tentative="1">
        <w:start w:val="1"/>
        <w:numFmt w:val="decimal"/>
        <w:lvlText w:val="%1.%2.%3.%4.%5.%6.%7"/>
        <w:lvlJc w:val="left"/>
        <w:pPr>
          <w:tabs>
            <w:tab w:val="left" w:pos="3827"/>
          </w:tabs>
          <w:ind w:left="3827" w:hanging="1276"/>
        </w:pPr>
        <w:rPr>
          <w:rFonts w:hint="eastAsia"/>
        </w:rPr>
      </w:lvl>
    </w:lvlOverride>
    <w:lvlOverride w:ilvl="7">
      <w:lvl w:ilvl="7" w:tentative="1">
        <w:start w:val="1"/>
        <w:numFmt w:val="decimal"/>
        <w:lvlText w:val="%1.%2.%3.%4.%5.%6.%7.%8"/>
        <w:lvlJc w:val="left"/>
        <w:pPr>
          <w:tabs>
            <w:tab w:val="left" w:pos="4394"/>
          </w:tabs>
          <w:ind w:left="4394" w:hanging="1418"/>
        </w:pPr>
        <w:rPr>
          <w:rFonts w:hint="eastAsia"/>
        </w:rPr>
      </w:lvl>
    </w:lvlOverride>
    <w:lvlOverride w:ilvl="8">
      <w:lvl w:ilvl="8" w:tentative="1">
        <w:start w:val="1"/>
        <w:numFmt w:val="decimal"/>
        <w:lvlText w:val="%1.%2.%3.%4.%5.%6.%7.%8.%9"/>
        <w:lvlJc w:val="left"/>
        <w:pPr>
          <w:tabs>
            <w:tab w:val="left" w:pos="5102"/>
          </w:tabs>
          <w:ind w:left="5102" w:hanging="1700"/>
        </w:pPr>
        <w:rPr>
          <w:rFonts w:hint="eastAsia"/>
        </w:rPr>
      </w:lvl>
    </w:lvlOverride>
  </w:num>
  <w:num w:numId="2">
    <w:abstractNumId w:val="5"/>
  </w:num>
  <w:num w:numId="3">
    <w:abstractNumId w:val="30"/>
    <w:lvlOverride w:ilvl="0">
      <w:lvl w:ilvl="0" w:tentative="1">
        <w:start w:val="1"/>
        <w:numFmt w:val="chineseCountingThousand"/>
        <w:lvlText w:val="第%1条"/>
        <w:lvlJc w:val="left"/>
        <w:pPr>
          <w:tabs>
            <w:tab w:val="left" w:pos="425"/>
          </w:tabs>
          <w:ind w:left="425" w:hanging="425"/>
        </w:pPr>
        <w:rPr>
          <w:rFonts w:hint="eastAsia"/>
        </w:rPr>
      </w:lvl>
    </w:lvlOverride>
    <w:lvlOverride w:ilvl="1">
      <w:lvl w:ilvl="1">
        <w:start w:val="1"/>
        <w:numFmt w:val="decimal"/>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1418"/>
          </w:tabs>
          <w:ind w:left="1418" w:hanging="567"/>
        </w:pPr>
        <w:rPr>
          <w:rFonts w:hint="eastAsia"/>
          <w:b w:val="0"/>
          <w:color w:val="000000"/>
        </w:rPr>
      </w:lvl>
    </w:lvlOverride>
  </w:num>
  <w:num w:numId="4">
    <w:abstractNumId w:val="30"/>
    <w:lvlOverride w:ilvl="0">
      <w:lvl w:ilvl="0" w:tentative="1">
        <w:start w:val="1"/>
        <w:numFmt w:val="chineseCountingThousand"/>
        <w:lvlText w:val="第%1条"/>
        <w:lvlJc w:val="left"/>
        <w:pPr>
          <w:tabs>
            <w:tab w:val="left" w:pos="2552"/>
          </w:tabs>
          <w:ind w:left="2552" w:hanging="425"/>
        </w:pPr>
        <w:rPr>
          <w:rFonts w:hint="eastAsia"/>
        </w:rPr>
      </w:lvl>
    </w:lvlOverride>
    <w:lvlOverride w:ilvl="1">
      <w:lvl w:ilvl="1" w:tentative="1">
        <w:start w:val="1"/>
        <w:numFmt w:val="decimal"/>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851"/>
          </w:tabs>
          <w:ind w:left="851" w:hanging="567"/>
        </w:pPr>
        <w:rPr>
          <w:rFonts w:hint="eastAsia"/>
          <w:b w:val="0"/>
          <w:color w:val="000000"/>
        </w:rPr>
      </w:lvl>
    </w:lvlOverride>
  </w:num>
  <w:num w:numId="5">
    <w:abstractNumId w:val="31"/>
  </w:num>
  <w:num w:numId="6">
    <w:abstractNumId w:val="13"/>
  </w:num>
  <w:num w:numId="7">
    <w:abstractNumId w:val="28"/>
  </w:num>
  <w:num w:numId="8">
    <w:abstractNumId w:val="41"/>
  </w:num>
  <w:num w:numId="9">
    <w:abstractNumId w:val="21"/>
  </w:num>
  <w:num w:numId="10">
    <w:abstractNumId w:val="6"/>
  </w:num>
  <w:num w:numId="11">
    <w:abstractNumId w:val="33"/>
  </w:num>
  <w:num w:numId="12">
    <w:abstractNumId w:val="20"/>
  </w:num>
  <w:num w:numId="13">
    <w:abstractNumId w:val="32"/>
  </w:num>
  <w:num w:numId="14">
    <w:abstractNumId w:val="39"/>
  </w:num>
  <w:num w:numId="15">
    <w:abstractNumId w:val="18"/>
  </w:num>
  <w:num w:numId="16">
    <w:abstractNumId w:val="2"/>
  </w:num>
  <w:num w:numId="17">
    <w:abstractNumId w:val="12"/>
  </w:num>
  <w:num w:numId="18">
    <w:abstractNumId w:val="8"/>
  </w:num>
  <w:num w:numId="19">
    <w:abstractNumId w:val="24"/>
  </w:num>
  <w:num w:numId="20">
    <w:abstractNumId w:val="10"/>
  </w:num>
  <w:num w:numId="21">
    <w:abstractNumId w:val="34"/>
  </w:num>
  <w:num w:numId="22">
    <w:abstractNumId w:val="16"/>
  </w:num>
  <w:num w:numId="23">
    <w:abstractNumId w:val="3"/>
  </w:num>
  <w:num w:numId="24">
    <w:abstractNumId w:val="26"/>
  </w:num>
  <w:num w:numId="25">
    <w:abstractNumId w:val="9"/>
  </w:num>
  <w:num w:numId="26">
    <w:abstractNumId w:val="22"/>
  </w:num>
  <w:num w:numId="27">
    <w:abstractNumId w:val="40"/>
  </w:num>
  <w:num w:numId="28">
    <w:abstractNumId w:val="37"/>
  </w:num>
  <w:num w:numId="29">
    <w:abstractNumId w:val="14"/>
  </w:num>
  <w:num w:numId="30">
    <w:abstractNumId w:val="7"/>
  </w:num>
  <w:num w:numId="31">
    <w:abstractNumId w:val="36"/>
  </w:num>
  <w:num w:numId="32">
    <w:abstractNumId w:val="25"/>
  </w:num>
  <w:num w:numId="33">
    <w:abstractNumId w:val="27"/>
  </w:num>
  <w:num w:numId="34">
    <w:abstractNumId w:val="4"/>
  </w:num>
  <w:num w:numId="35">
    <w:abstractNumId w:val="35"/>
  </w:num>
  <w:num w:numId="36">
    <w:abstractNumId w:val="19"/>
  </w:num>
  <w:num w:numId="37">
    <w:abstractNumId w:val="38"/>
  </w:num>
  <w:num w:numId="38">
    <w:abstractNumId w:val="23"/>
  </w:num>
  <w:num w:numId="39">
    <w:abstractNumId w:val="30"/>
    <w:lvlOverride w:ilvl="0">
      <w:lvl w:ilvl="0" w:tentative="1">
        <w:start w:val="1"/>
        <w:numFmt w:val="chineseCountingThousand"/>
        <w:lvlText w:val="第%1条"/>
        <w:lvlJc w:val="left"/>
        <w:pPr>
          <w:tabs>
            <w:tab w:val="left" w:pos="425"/>
          </w:tabs>
          <w:ind w:left="425" w:hanging="425"/>
        </w:pPr>
        <w:rPr>
          <w:rFonts w:hint="eastAsia"/>
        </w:rPr>
      </w:lvl>
    </w:lvlOverride>
    <w:lvlOverride w:ilvl="1">
      <w:lvl w:ilvl="1" w:tentative="1">
        <w:start w:val="1"/>
        <w:numFmt w:val="decimal"/>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6663"/>
          </w:tabs>
          <w:ind w:left="6663" w:hanging="567"/>
        </w:pPr>
        <w:rPr>
          <w:rFonts w:ascii="Times New Roman" w:hAnsi="Times New Roman" w:cs="Times New Roman" w:hint="default"/>
          <w:b w:val="0"/>
          <w:color w:val="000000"/>
        </w:rPr>
      </w:lvl>
    </w:lvlOverride>
  </w:num>
  <w:num w:numId="40">
    <w:abstractNumId w:val="17"/>
  </w:num>
  <w:num w:numId="41">
    <w:abstractNumId w:val="29"/>
  </w:num>
  <w:num w:numId="42">
    <w:abstractNumId w:val="1"/>
  </w:num>
  <w:num w:numId="43">
    <w:abstractNumId w:val="11"/>
  </w:num>
  <w:num w:numId="44">
    <w:abstractNumId w:val="15"/>
  </w:num>
  <w:num w:numId="4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zsy">
    <w15:presenceInfo w15:providerId="None" w15:userId="z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2IyZWNhZjg3NjRkYTI1NGI5YjRjMzQzOTRjNDQifQ=="/>
  </w:docVars>
  <w:rsids>
    <w:rsidRoot w:val="002F57E4"/>
    <w:rsid w:val="8BFBEE76"/>
    <w:rsid w:val="8FFBB984"/>
    <w:rsid w:val="93C3C98E"/>
    <w:rsid w:val="B7C77D27"/>
    <w:rsid w:val="BA3B8A29"/>
    <w:rsid w:val="CDD707A8"/>
    <w:rsid w:val="DD77435E"/>
    <w:rsid w:val="DD7E8E7D"/>
    <w:rsid w:val="E7BF8A13"/>
    <w:rsid w:val="F7FF7EF3"/>
    <w:rsid w:val="FAC74763"/>
    <w:rsid w:val="FBF5A77C"/>
    <w:rsid w:val="FDFEA1D2"/>
    <w:rsid w:val="FF8FB58F"/>
    <w:rsid w:val="FFDE875F"/>
    <w:rsid w:val="FFFF18D3"/>
    <w:rsid w:val="00000349"/>
    <w:rsid w:val="00000588"/>
    <w:rsid w:val="00000718"/>
    <w:rsid w:val="00000976"/>
    <w:rsid w:val="00000BBE"/>
    <w:rsid w:val="0000189A"/>
    <w:rsid w:val="00001E46"/>
    <w:rsid w:val="0000209F"/>
    <w:rsid w:val="00002489"/>
    <w:rsid w:val="0000250A"/>
    <w:rsid w:val="00002531"/>
    <w:rsid w:val="000027EF"/>
    <w:rsid w:val="0000294C"/>
    <w:rsid w:val="000029F8"/>
    <w:rsid w:val="00002AF5"/>
    <w:rsid w:val="00002BC2"/>
    <w:rsid w:val="00002D5D"/>
    <w:rsid w:val="0000316B"/>
    <w:rsid w:val="00003587"/>
    <w:rsid w:val="000035E7"/>
    <w:rsid w:val="0000378F"/>
    <w:rsid w:val="000037F1"/>
    <w:rsid w:val="00003840"/>
    <w:rsid w:val="00003A85"/>
    <w:rsid w:val="00003AD2"/>
    <w:rsid w:val="00003D45"/>
    <w:rsid w:val="00003FEA"/>
    <w:rsid w:val="0000413C"/>
    <w:rsid w:val="000041E5"/>
    <w:rsid w:val="000043D1"/>
    <w:rsid w:val="000043F6"/>
    <w:rsid w:val="0000443C"/>
    <w:rsid w:val="0000449E"/>
    <w:rsid w:val="000044E4"/>
    <w:rsid w:val="000047F5"/>
    <w:rsid w:val="000047FB"/>
    <w:rsid w:val="00004A2A"/>
    <w:rsid w:val="00004B5D"/>
    <w:rsid w:val="00004C3E"/>
    <w:rsid w:val="0000502D"/>
    <w:rsid w:val="00005534"/>
    <w:rsid w:val="000055DD"/>
    <w:rsid w:val="00005A1B"/>
    <w:rsid w:val="00005D75"/>
    <w:rsid w:val="00006426"/>
    <w:rsid w:val="000064AB"/>
    <w:rsid w:val="0000692A"/>
    <w:rsid w:val="00006AE7"/>
    <w:rsid w:val="00006F34"/>
    <w:rsid w:val="000071E1"/>
    <w:rsid w:val="00007205"/>
    <w:rsid w:val="0000725C"/>
    <w:rsid w:val="00007262"/>
    <w:rsid w:val="00007350"/>
    <w:rsid w:val="00007485"/>
    <w:rsid w:val="000075C5"/>
    <w:rsid w:val="0000761B"/>
    <w:rsid w:val="00007EC7"/>
    <w:rsid w:val="00007EEE"/>
    <w:rsid w:val="00007EFE"/>
    <w:rsid w:val="00010264"/>
    <w:rsid w:val="000105A5"/>
    <w:rsid w:val="000107E8"/>
    <w:rsid w:val="00011011"/>
    <w:rsid w:val="000112D2"/>
    <w:rsid w:val="000114C5"/>
    <w:rsid w:val="000114D7"/>
    <w:rsid w:val="00011926"/>
    <w:rsid w:val="000119C9"/>
    <w:rsid w:val="00011C2F"/>
    <w:rsid w:val="00011DCC"/>
    <w:rsid w:val="00011F5F"/>
    <w:rsid w:val="000121DB"/>
    <w:rsid w:val="000122C6"/>
    <w:rsid w:val="000123C6"/>
    <w:rsid w:val="00012822"/>
    <w:rsid w:val="00012894"/>
    <w:rsid w:val="00012E44"/>
    <w:rsid w:val="00012E73"/>
    <w:rsid w:val="00012F8C"/>
    <w:rsid w:val="0001303B"/>
    <w:rsid w:val="0001326C"/>
    <w:rsid w:val="00013425"/>
    <w:rsid w:val="000136ED"/>
    <w:rsid w:val="0001386A"/>
    <w:rsid w:val="00013BEA"/>
    <w:rsid w:val="00013CE1"/>
    <w:rsid w:val="00013D8C"/>
    <w:rsid w:val="00013DBE"/>
    <w:rsid w:val="00013FF8"/>
    <w:rsid w:val="00014164"/>
    <w:rsid w:val="000141DF"/>
    <w:rsid w:val="00014654"/>
    <w:rsid w:val="0001470A"/>
    <w:rsid w:val="0001473E"/>
    <w:rsid w:val="00014AF3"/>
    <w:rsid w:val="00014D30"/>
    <w:rsid w:val="000150A4"/>
    <w:rsid w:val="000150E8"/>
    <w:rsid w:val="0001531E"/>
    <w:rsid w:val="00015393"/>
    <w:rsid w:val="00015880"/>
    <w:rsid w:val="00015A93"/>
    <w:rsid w:val="00015D2F"/>
    <w:rsid w:val="00015D43"/>
    <w:rsid w:val="00015F23"/>
    <w:rsid w:val="0001601E"/>
    <w:rsid w:val="000163C3"/>
    <w:rsid w:val="0001679C"/>
    <w:rsid w:val="00016855"/>
    <w:rsid w:val="00016856"/>
    <w:rsid w:val="00016861"/>
    <w:rsid w:val="00016CA6"/>
    <w:rsid w:val="00016CCB"/>
    <w:rsid w:val="00016E07"/>
    <w:rsid w:val="00016FA0"/>
    <w:rsid w:val="0001736E"/>
    <w:rsid w:val="0001744D"/>
    <w:rsid w:val="00017532"/>
    <w:rsid w:val="00017642"/>
    <w:rsid w:val="00017788"/>
    <w:rsid w:val="00017A10"/>
    <w:rsid w:val="00017A21"/>
    <w:rsid w:val="00017B48"/>
    <w:rsid w:val="00017D9F"/>
    <w:rsid w:val="00017F18"/>
    <w:rsid w:val="000203EE"/>
    <w:rsid w:val="00020448"/>
    <w:rsid w:val="000206CF"/>
    <w:rsid w:val="00020954"/>
    <w:rsid w:val="00021003"/>
    <w:rsid w:val="000213C4"/>
    <w:rsid w:val="0002150C"/>
    <w:rsid w:val="00021692"/>
    <w:rsid w:val="000219CD"/>
    <w:rsid w:val="00021B07"/>
    <w:rsid w:val="00021B77"/>
    <w:rsid w:val="00021F0A"/>
    <w:rsid w:val="0002202F"/>
    <w:rsid w:val="00022261"/>
    <w:rsid w:val="000225FA"/>
    <w:rsid w:val="000226FC"/>
    <w:rsid w:val="00022815"/>
    <w:rsid w:val="00022820"/>
    <w:rsid w:val="00022918"/>
    <w:rsid w:val="00022988"/>
    <w:rsid w:val="00022A9A"/>
    <w:rsid w:val="00022FF5"/>
    <w:rsid w:val="000230FC"/>
    <w:rsid w:val="00023152"/>
    <w:rsid w:val="00023155"/>
    <w:rsid w:val="00023181"/>
    <w:rsid w:val="0002328D"/>
    <w:rsid w:val="00023621"/>
    <w:rsid w:val="00023AD2"/>
    <w:rsid w:val="00023BE1"/>
    <w:rsid w:val="00023DA1"/>
    <w:rsid w:val="00023F36"/>
    <w:rsid w:val="00023FEB"/>
    <w:rsid w:val="0002408A"/>
    <w:rsid w:val="00024400"/>
    <w:rsid w:val="00024481"/>
    <w:rsid w:val="00024548"/>
    <w:rsid w:val="00024955"/>
    <w:rsid w:val="00024B9A"/>
    <w:rsid w:val="00024BFB"/>
    <w:rsid w:val="00024E48"/>
    <w:rsid w:val="00024E65"/>
    <w:rsid w:val="00025072"/>
    <w:rsid w:val="000252E3"/>
    <w:rsid w:val="000255AF"/>
    <w:rsid w:val="000255D0"/>
    <w:rsid w:val="000258A0"/>
    <w:rsid w:val="00025997"/>
    <w:rsid w:val="00025AF6"/>
    <w:rsid w:val="00025BEC"/>
    <w:rsid w:val="0002679D"/>
    <w:rsid w:val="000267C9"/>
    <w:rsid w:val="00026A1C"/>
    <w:rsid w:val="00026A95"/>
    <w:rsid w:val="00026E84"/>
    <w:rsid w:val="0002728F"/>
    <w:rsid w:val="00027499"/>
    <w:rsid w:val="000274C5"/>
    <w:rsid w:val="00027598"/>
    <w:rsid w:val="00027599"/>
    <w:rsid w:val="000278BD"/>
    <w:rsid w:val="00027BC6"/>
    <w:rsid w:val="00027C08"/>
    <w:rsid w:val="00027DFA"/>
    <w:rsid w:val="00027E31"/>
    <w:rsid w:val="0003008F"/>
    <w:rsid w:val="00030183"/>
    <w:rsid w:val="000302C7"/>
    <w:rsid w:val="0003036F"/>
    <w:rsid w:val="000304FC"/>
    <w:rsid w:val="00030598"/>
    <w:rsid w:val="0003070B"/>
    <w:rsid w:val="00030A9C"/>
    <w:rsid w:val="00030C8A"/>
    <w:rsid w:val="00030DA4"/>
    <w:rsid w:val="00030EFB"/>
    <w:rsid w:val="0003103B"/>
    <w:rsid w:val="00031201"/>
    <w:rsid w:val="00031246"/>
    <w:rsid w:val="000313E5"/>
    <w:rsid w:val="00031448"/>
    <w:rsid w:val="00031525"/>
    <w:rsid w:val="000319F4"/>
    <w:rsid w:val="00031EB4"/>
    <w:rsid w:val="00031F91"/>
    <w:rsid w:val="00032142"/>
    <w:rsid w:val="000322B5"/>
    <w:rsid w:val="0003246B"/>
    <w:rsid w:val="00032482"/>
    <w:rsid w:val="00032617"/>
    <w:rsid w:val="00032674"/>
    <w:rsid w:val="00032684"/>
    <w:rsid w:val="000327C5"/>
    <w:rsid w:val="000327FF"/>
    <w:rsid w:val="00032883"/>
    <w:rsid w:val="000329AF"/>
    <w:rsid w:val="00032A25"/>
    <w:rsid w:val="00032F8E"/>
    <w:rsid w:val="00033008"/>
    <w:rsid w:val="00033128"/>
    <w:rsid w:val="0003349B"/>
    <w:rsid w:val="000335E1"/>
    <w:rsid w:val="0003361D"/>
    <w:rsid w:val="0003383B"/>
    <w:rsid w:val="00033A1C"/>
    <w:rsid w:val="00034156"/>
    <w:rsid w:val="0003425A"/>
    <w:rsid w:val="00034304"/>
    <w:rsid w:val="000344DA"/>
    <w:rsid w:val="00034842"/>
    <w:rsid w:val="00034BAC"/>
    <w:rsid w:val="00034C26"/>
    <w:rsid w:val="000351F5"/>
    <w:rsid w:val="0003586A"/>
    <w:rsid w:val="000359DE"/>
    <w:rsid w:val="00035D61"/>
    <w:rsid w:val="0003606B"/>
    <w:rsid w:val="000360A9"/>
    <w:rsid w:val="00036138"/>
    <w:rsid w:val="00036181"/>
    <w:rsid w:val="0003658B"/>
    <w:rsid w:val="00036C35"/>
    <w:rsid w:val="00036E63"/>
    <w:rsid w:val="00036FBB"/>
    <w:rsid w:val="00037478"/>
    <w:rsid w:val="0003752A"/>
    <w:rsid w:val="000376AF"/>
    <w:rsid w:val="00037808"/>
    <w:rsid w:val="00037A5D"/>
    <w:rsid w:val="00037B79"/>
    <w:rsid w:val="00040120"/>
    <w:rsid w:val="000403AE"/>
    <w:rsid w:val="00040420"/>
    <w:rsid w:val="0004048F"/>
    <w:rsid w:val="00040D6E"/>
    <w:rsid w:val="00040ED6"/>
    <w:rsid w:val="00040FD1"/>
    <w:rsid w:val="00041151"/>
    <w:rsid w:val="00041169"/>
    <w:rsid w:val="00041178"/>
    <w:rsid w:val="000415C4"/>
    <w:rsid w:val="000415E9"/>
    <w:rsid w:val="00041649"/>
    <w:rsid w:val="00041817"/>
    <w:rsid w:val="00041A17"/>
    <w:rsid w:val="00041D5B"/>
    <w:rsid w:val="00041E8E"/>
    <w:rsid w:val="00042038"/>
    <w:rsid w:val="000421BF"/>
    <w:rsid w:val="00042228"/>
    <w:rsid w:val="00042252"/>
    <w:rsid w:val="0004239F"/>
    <w:rsid w:val="000429B4"/>
    <w:rsid w:val="00042A7B"/>
    <w:rsid w:val="00042AE6"/>
    <w:rsid w:val="000433AB"/>
    <w:rsid w:val="0004342F"/>
    <w:rsid w:val="000435C4"/>
    <w:rsid w:val="000436E5"/>
    <w:rsid w:val="00043755"/>
    <w:rsid w:val="00043A1C"/>
    <w:rsid w:val="00044036"/>
    <w:rsid w:val="00044145"/>
    <w:rsid w:val="000441A3"/>
    <w:rsid w:val="000441BA"/>
    <w:rsid w:val="00044660"/>
    <w:rsid w:val="000447B3"/>
    <w:rsid w:val="00044899"/>
    <w:rsid w:val="00044A69"/>
    <w:rsid w:val="00044C1D"/>
    <w:rsid w:val="00044C9E"/>
    <w:rsid w:val="00044DBC"/>
    <w:rsid w:val="00044E3F"/>
    <w:rsid w:val="00044EDB"/>
    <w:rsid w:val="00044EF2"/>
    <w:rsid w:val="000450D6"/>
    <w:rsid w:val="0004526A"/>
    <w:rsid w:val="000452DE"/>
    <w:rsid w:val="00045793"/>
    <w:rsid w:val="000458E3"/>
    <w:rsid w:val="00045924"/>
    <w:rsid w:val="00045C8D"/>
    <w:rsid w:val="00045D1D"/>
    <w:rsid w:val="00045DD0"/>
    <w:rsid w:val="00045E52"/>
    <w:rsid w:val="00045E8D"/>
    <w:rsid w:val="00045EF1"/>
    <w:rsid w:val="00045F52"/>
    <w:rsid w:val="00046095"/>
    <w:rsid w:val="000461DF"/>
    <w:rsid w:val="000463CA"/>
    <w:rsid w:val="00046727"/>
    <w:rsid w:val="00046C94"/>
    <w:rsid w:val="00046DCE"/>
    <w:rsid w:val="00046E30"/>
    <w:rsid w:val="00046EBE"/>
    <w:rsid w:val="00046F6B"/>
    <w:rsid w:val="0004722F"/>
    <w:rsid w:val="0004724F"/>
    <w:rsid w:val="000473D2"/>
    <w:rsid w:val="0004741F"/>
    <w:rsid w:val="00047756"/>
    <w:rsid w:val="0004785C"/>
    <w:rsid w:val="00047A84"/>
    <w:rsid w:val="00050086"/>
    <w:rsid w:val="00050222"/>
    <w:rsid w:val="000505A9"/>
    <w:rsid w:val="00050A69"/>
    <w:rsid w:val="00050B18"/>
    <w:rsid w:val="00050E6C"/>
    <w:rsid w:val="00050FCB"/>
    <w:rsid w:val="00051050"/>
    <w:rsid w:val="00051155"/>
    <w:rsid w:val="000518FB"/>
    <w:rsid w:val="0005195E"/>
    <w:rsid w:val="00051A19"/>
    <w:rsid w:val="00051C22"/>
    <w:rsid w:val="00051D5D"/>
    <w:rsid w:val="000520DB"/>
    <w:rsid w:val="000520E1"/>
    <w:rsid w:val="00052117"/>
    <w:rsid w:val="00052347"/>
    <w:rsid w:val="000527CE"/>
    <w:rsid w:val="000527DE"/>
    <w:rsid w:val="00052ACB"/>
    <w:rsid w:val="00052AEB"/>
    <w:rsid w:val="00053031"/>
    <w:rsid w:val="000530CF"/>
    <w:rsid w:val="00053171"/>
    <w:rsid w:val="00053406"/>
    <w:rsid w:val="000534FB"/>
    <w:rsid w:val="00053703"/>
    <w:rsid w:val="0005373E"/>
    <w:rsid w:val="0005390E"/>
    <w:rsid w:val="00053A91"/>
    <w:rsid w:val="00053C1A"/>
    <w:rsid w:val="00053EB0"/>
    <w:rsid w:val="00053F0C"/>
    <w:rsid w:val="00053F72"/>
    <w:rsid w:val="00053FC4"/>
    <w:rsid w:val="00054080"/>
    <w:rsid w:val="000541EA"/>
    <w:rsid w:val="000542E4"/>
    <w:rsid w:val="00054514"/>
    <w:rsid w:val="00054926"/>
    <w:rsid w:val="00054CB6"/>
    <w:rsid w:val="0005508C"/>
    <w:rsid w:val="000550FC"/>
    <w:rsid w:val="000551A0"/>
    <w:rsid w:val="000557F1"/>
    <w:rsid w:val="000557FD"/>
    <w:rsid w:val="00055902"/>
    <w:rsid w:val="00055990"/>
    <w:rsid w:val="00055BAA"/>
    <w:rsid w:val="00055E7D"/>
    <w:rsid w:val="00055EA8"/>
    <w:rsid w:val="000560C3"/>
    <w:rsid w:val="0005639A"/>
    <w:rsid w:val="000565AF"/>
    <w:rsid w:val="00056696"/>
    <w:rsid w:val="000566A0"/>
    <w:rsid w:val="00056820"/>
    <w:rsid w:val="00056D13"/>
    <w:rsid w:val="00056D62"/>
    <w:rsid w:val="00056EF9"/>
    <w:rsid w:val="00056F86"/>
    <w:rsid w:val="000570B4"/>
    <w:rsid w:val="000570D7"/>
    <w:rsid w:val="00057176"/>
    <w:rsid w:val="0005736B"/>
    <w:rsid w:val="00057482"/>
    <w:rsid w:val="00057748"/>
    <w:rsid w:val="000577F6"/>
    <w:rsid w:val="000578E0"/>
    <w:rsid w:val="000578EF"/>
    <w:rsid w:val="00057AEC"/>
    <w:rsid w:val="00057EEC"/>
    <w:rsid w:val="00060023"/>
    <w:rsid w:val="00060161"/>
    <w:rsid w:val="000602AC"/>
    <w:rsid w:val="000602AE"/>
    <w:rsid w:val="0006037E"/>
    <w:rsid w:val="000603D4"/>
    <w:rsid w:val="00060AD4"/>
    <w:rsid w:val="00060D83"/>
    <w:rsid w:val="00060E08"/>
    <w:rsid w:val="00060E14"/>
    <w:rsid w:val="00060E18"/>
    <w:rsid w:val="000612A6"/>
    <w:rsid w:val="00061349"/>
    <w:rsid w:val="000616AD"/>
    <w:rsid w:val="000617E2"/>
    <w:rsid w:val="00061C62"/>
    <w:rsid w:val="00061EE3"/>
    <w:rsid w:val="0006239A"/>
    <w:rsid w:val="00062738"/>
    <w:rsid w:val="000628C2"/>
    <w:rsid w:val="00062961"/>
    <w:rsid w:val="00062C51"/>
    <w:rsid w:val="00062C6D"/>
    <w:rsid w:val="00062F28"/>
    <w:rsid w:val="00062FE2"/>
    <w:rsid w:val="00063092"/>
    <w:rsid w:val="000630C4"/>
    <w:rsid w:val="000634E9"/>
    <w:rsid w:val="00063551"/>
    <w:rsid w:val="0006362A"/>
    <w:rsid w:val="00063749"/>
    <w:rsid w:val="00063850"/>
    <w:rsid w:val="000639FA"/>
    <w:rsid w:val="00063D6D"/>
    <w:rsid w:val="00063E8E"/>
    <w:rsid w:val="00063EF4"/>
    <w:rsid w:val="00063EF5"/>
    <w:rsid w:val="0006419C"/>
    <w:rsid w:val="0006486A"/>
    <w:rsid w:val="00064A0D"/>
    <w:rsid w:val="00064B43"/>
    <w:rsid w:val="00064BE5"/>
    <w:rsid w:val="00064F3B"/>
    <w:rsid w:val="00065143"/>
    <w:rsid w:val="0006519F"/>
    <w:rsid w:val="000652BC"/>
    <w:rsid w:val="000655AE"/>
    <w:rsid w:val="000659F6"/>
    <w:rsid w:val="00065AC2"/>
    <w:rsid w:val="00065ECF"/>
    <w:rsid w:val="00065F67"/>
    <w:rsid w:val="00066032"/>
    <w:rsid w:val="0006608D"/>
    <w:rsid w:val="00066166"/>
    <w:rsid w:val="000661AA"/>
    <w:rsid w:val="000662D7"/>
    <w:rsid w:val="00066479"/>
    <w:rsid w:val="00066E8D"/>
    <w:rsid w:val="00066ED7"/>
    <w:rsid w:val="000670FA"/>
    <w:rsid w:val="00067193"/>
    <w:rsid w:val="0006728F"/>
    <w:rsid w:val="00067348"/>
    <w:rsid w:val="00067670"/>
    <w:rsid w:val="00067909"/>
    <w:rsid w:val="000679F2"/>
    <w:rsid w:val="00067A5E"/>
    <w:rsid w:val="00067CE5"/>
    <w:rsid w:val="00067DC5"/>
    <w:rsid w:val="00067F2C"/>
    <w:rsid w:val="000702A7"/>
    <w:rsid w:val="0007054A"/>
    <w:rsid w:val="000706CE"/>
    <w:rsid w:val="00070844"/>
    <w:rsid w:val="0007087F"/>
    <w:rsid w:val="0007088D"/>
    <w:rsid w:val="000709DC"/>
    <w:rsid w:val="00070B15"/>
    <w:rsid w:val="00070BBF"/>
    <w:rsid w:val="00070C03"/>
    <w:rsid w:val="00070C48"/>
    <w:rsid w:val="000712CB"/>
    <w:rsid w:val="00071440"/>
    <w:rsid w:val="00071534"/>
    <w:rsid w:val="00071680"/>
    <w:rsid w:val="0007173B"/>
    <w:rsid w:val="000717FF"/>
    <w:rsid w:val="00071AAC"/>
    <w:rsid w:val="00071C6C"/>
    <w:rsid w:val="00071E0B"/>
    <w:rsid w:val="00071F05"/>
    <w:rsid w:val="000720E4"/>
    <w:rsid w:val="000725B1"/>
    <w:rsid w:val="000726BC"/>
    <w:rsid w:val="0007286B"/>
    <w:rsid w:val="00072897"/>
    <w:rsid w:val="00072978"/>
    <w:rsid w:val="00072A33"/>
    <w:rsid w:val="00072BE6"/>
    <w:rsid w:val="00072BF8"/>
    <w:rsid w:val="00072C88"/>
    <w:rsid w:val="00072FE0"/>
    <w:rsid w:val="0007318D"/>
    <w:rsid w:val="00073663"/>
    <w:rsid w:val="00073695"/>
    <w:rsid w:val="00073A36"/>
    <w:rsid w:val="00073C26"/>
    <w:rsid w:val="00073F61"/>
    <w:rsid w:val="0007438D"/>
    <w:rsid w:val="00074491"/>
    <w:rsid w:val="0007468C"/>
    <w:rsid w:val="0007472A"/>
    <w:rsid w:val="0007491B"/>
    <w:rsid w:val="000749FD"/>
    <w:rsid w:val="00074A92"/>
    <w:rsid w:val="00074BA3"/>
    <w:rsid w:val="00074C38"/>
    <w:rsid w:val="00074C4D"/>
    <w:rsid w:val="00074E43"/>
    <w:rsid w:val="00074E82"/>
    <w:rsid w:val="00074F96"/>
    <w:rsid w:val="0007519F"/>
    <w:rsid w:val="00075300"/>
    <w:rsid w:val="0007570F"/>
    <w:rsid w:val="00075C84"/>
    <w:rsid w:val="00075D09"/>
    <w:rsid w:val="00075EB3"/>
    <w:rsid w:val="0007605C"/>
    <w:rsid w:val="00076196"/>
    <w:rsid w:val="0007663E"/>
    <w:rsid w:val="000766EC"/>
    <w:rsid w:val="00076767"/>
    <w:rsid w:val="0007676C"/>
    <w:rsid w:val="000768F2"/>
    <w:rsid w:val="0007699B"/>
    <w:rsid w:val="00076AF1"/>
    <w:rsid w:val="00076B46"/>
    <w:rsid w:val="00076C74"/>
    <w:rsid w:val="00076F57"/>
    <w:rsid w:val="0007700D"/>
    <w:rsid w:val="000773E1"/>
    <w:rsid w:val="00077403"/>
    <w:rsid w:val="00077436"/>
    <w:rsid w:val="00077539"/>
    <w:rsid w:val="00077947"/>
    <w:rsid w:val="000779D6"/>
    <w:rsid w:val="00077E1E"/>
    <w:rsid w:val="00077E32"/>
    <w:rsid w:val="00077EDB"/>
    <w:rsid w:val="000801E6"/>
    <w:rsid w:val="000803B1"/>
    <w:rsid w:val="0008046D"/>
    <w:rsid w:val="0008047F"/>
    <w:rsid w:val="00080591"/>
    <w:rsid w:val="00080923"/>
    <w:rsid w:val="000809B9"/>
    <w:rsid w:val="00080C31"/>
    <w:rsid w:val="00080CE4"/>
    <w:rsid w:val="00080D91"/>
    <w:rsid w:val="00080E2D"/>
    <w:rsid w:val="00081135"/>
    <w:rsid w:val="000812DB"/>
    <w:rsid w:val="000813F3"/>
    <w:rsid w:val="0008165F"/>
    <w:rsid w:val="00081932"/>
    <w:rsid w:val="0008194C"/>
    <w:rsid w:val="00081A53"/>
    <w:rsid w:val="00081A69"/>
    <w:rsid w:val="00081B20"/>
    <w:rsid w:val="00081D55"/>
    <w:rsid w:val="00082126"/>
    <w:rsid w:val="000821FB"/>
    <w:rsid w:val="000825E4"/>
    <w:rsid w:val="000825F9"/>
    <w:rsid w:val="000826F3"/>
    <w:rsid w:val="00082899"/>
    <w:rsid w:val="00082A4D"/>
    <w:rsid w:val="00082B4F"/>
    <w:rsid w:val="00082BD5"/>
    <w:rsid w:val="00082E46"/>
    <w:rsid w:val="00082F7F"/>
    <w:rsid w:val="0008301D"/>
    <w:rsid w:val="000835B2"/>
    <w:rsid w:val="00083610"/>
    <w:rsid w:val="0008369A"/>
    <w:rsid w:val="0008369C"/>
    <w:rsid w:val="00083E52"/>
    <w:rsid w:val="00084387"/>
    <w:rsid w:val="000844FF"/>
    <w:rsid w:val="000845A7"/>
    <w:rsid w:val="00084A6B"/>
    <w:rsid w:val="00084C84"/>
    <w:rsid w:val="00084F2C"/>
    <w:rsid w:val="0008503A"/>
    <w:rsid w:val="000851BA"/>
    <w:rsid w:val="000851F2"/>
    <w:rsid w:val="000852EC"/>
    <w:rsid w:val="000854AC"/>
    <w:rsid w:val="0008575D"/>
    <w:rsid w:val="00085B85"/>
    <w:rsid w:val="00085D88"/>
    <w:rsid w:val="00085E0D"/>
    <w:rsid w:val="00085FC7"/>
    <w:rsid w:val="00085FEF"/>
    <w:rsid w:val="0008601C"/>
    <w:rsid w:val="00086037"/>
    <w:rsid w:val="0008615F"/>
    <w:rsid w:val="00086161"/>
    <w:rsid w:val="000861F8"/>
    <w:rsid w:val="000862CE"/>
    <w:rsid w:val="000866F8"/>
    <w:rsid w:val="0008673E"/>
    <w:rsid w:val="00086A66"/>
    <w:rsid w:val="00086DCF"/>
    <w:rsid w:val="00086EFF"/>
    <w:rsid w:val="00087283"/>
    <w:rsid w:val="0008771F"/>
    <w:rsid w:val="00087756"/>
    <w:rsid w:val="00087A93"/>
    <w:rsid w:val="00087C57"/>
    <w:rsid w:val="00090434"/>
    <w:rsid w:val="000905B5"/>
    <w:rsid w:val="0009061C"/>
    <w:rsid w:val="00090644"/>
    <w:rsid w:val="00090E1F"/>
    <w:rsid w:val="00091191"/>
    <w:rsid w:val="000915AB"/>
    <w:rsid w:val="0009177E"/>
    <w:rsid w:val="0009188C"/>
    <w:rsid w:val="0009215D"/>
    <w:rsid w:val="000922FA"/>
    <w:rsid w:val="00092318"/>
    <w:rsid w:val="0009247C"/>
    <w:rsid w:val="000925AA"/>
    <w:rsid w:val="0009260C"/>
    <w:rsid w:val="0009282C"/>
    <w:rsid w:val="00092A1D"/>
    <w:rsid w:val="00092A87"/>
    <w:rsid w:val="00092F6C"/>
    <w:rsid w:val="00092F79"/>
    <w:rsid w:val="0009303B"/>
    <w:rsid w:val="000930B2"/>
    <w:rsid w:val="000931F7"/>
    <w:rsid w:val="000933E3"/>
    <w:rsid w:val="00093686"/>
    <w:rsid w:val="000939B1"/>
    <w:rsid w:val="000939EF"/>
    <w:rsid w:val="00093BC4"/>
    <w:rsid w:val="00093F61"/>
    <w:rsid w:val="00093FA2"/>
    <w:rsid w:val="00094239"/>
    <w:rsid w:val="000943A3"/>
    <w:rsid w:val="00094692"/>
    <w:rsid w:val="00094738"/>
    <w:rsid w:val="00094E34"/>
    <w:rsid w:val="000952FD"/>
    <w:rsid w:val="00095358"/>
    <w:rsid w:val="000954F7"/>
    <w:rsid w:val="0009562C"/>
    <w:rsid w:val="00095C20"/>
    <w:rsid w:val="00095E0C"/>
    <w:rsid w:val="00095E4F"/>
    <w:rsid w:val="00095E51"/>
    <w:rsid w:val="00096047"/>
    <w:rsid w:val="000964E0"/>
    <w:rsid w:val="000964FB"/>
    <w:rsid w:val="00096969"/>
    <w:rsid w:val="00096A99"/>
    <w:rsid w:val="00096B42"/>
    <w:rsid w:val="00096CF2"/>
    <w:rsid w:val="00096DC4"/>
    <w:rsid w:val="0009700A"/>
    <w:rsid w:val="000970AF"/>
    <w:rsid w:val="0009720A"/>
    <w:rsid w:val="0009741A"/>
    <w:rsid w:val="000977A2"/>
    <w:rsid w:val="00097A84"/>
    <w:rsid w:val="00097EB5"/>
    <w:rsid w:val="000A00CC"/>
    <w:rsid w:val="000A0915"/>
    <w:rsid w:val="000A0950"/>
    <w:rsid w:val="000A0A05"/>
    <w:rsid w:val="000A0A95"/>
    <w:rsid w:val="000A0D84"/>
    <w:rsid w:val="000A0E6F"/>
    <w:rsid w:val="000A1057"/>
    <w:rsid w:val="000A111C"/>
    <w:rsid w:val="000A11F1"/>
    <w:rsid w:val="000A11F8"/>
    <w:rsid w:val="000A14BE"/>
    <w:rsid w:val="000A14DD"/>
    <w:rsid w:val="000A1512"/>
    <w:rsid w:val="000A15AE"/>
    <w:rsid w:val="000A169A"/>
    <w:rsid w:val="000A18B8"/>
    <w:rsid w:val="000A18D9"/>
    <w:rsid w:val="000A1A76"/>
    <w:rsid w:val="000A1B40"/>
    <w:rsid w:val="000A1CB5"/>
    <w:rsid w:val="000A1D9D"/>
    <w:rsid w:val="000A20F0"/>
    <w:rsid w:val="000A2452"/>
    <w:rsid w:val="000A26C0"/>
    <w:rsid w:val="000A26E3"/>
    <w:rsid w:val="000A2831"/>
    <w:rsid w:val="000A299E"/>
    <w:rsid w:val="000A2ACC"/>
    <w:rsid w:val="000A2CAB"/>
    <w:rsid w:val="000A2E41"/>
    <w:rsid w:val="000A2EBB"/>
    <w:rsid w:val="000A3227"/>
    <w:rsid w:val="000A3378"/>
    <w:rsid w:val="000A34A0"/>
    <w:rsid w:val="000A3531"/>
    <w:rsid w:val="000A3895"/>
    <w:rsid w:val="000A3995"/>
    <w:rsid w:val="000A3C39"/>
    <w:rsid w:val="000A3D10"/>
    <w:rsid w:val="000A4142"/>
    <w:rsid w:val="000A4446"/>
    <w:rsid w:val="000A4454"/>
    <w:rsid w:val="000A4619"/>
    <w:rsid w:val="000A4666"/>
    <w:rsid w:val="000A4676"/>
    <w:rsid w:val="000A4766"/>
    <w:rsid w:val="000A4901"/>
    <w:rsid w:val="000A4911"/>
    <w:rsid w:val="000A494C"/>
    <w:rsid w:val="000A49F3"/>
    <w:rsid w:val="000A4BCF"/>
    <w:rsid w:val="000A5011"/>
    <w:rsid w:val="000A547B"/>
    <w:rsid w:val="000A562B"/>
    <w:rsid w:val="000A5710"/>
    <w:rsid w:val="000A5724"/>
    <w:rsid w:val="000A578F"/>
    <w:rsid w:val="000A5837"/>
    <w:rsid w:val="000A59A9"/>
    <w:rsid w:val="000A59C9"/>
    <w:rsid w:val="000A5C7F"/>
    <w:rsid w:val="000A63CC"/>
    <w:rsid w:val="000A65CC"/>
    <w:rsid w:val="000A661D"/>
    <w:rsid w:val="000A6685"/>
    <w:rsid w:val="000A6962"/>
    <w:rsid w:val="000A6BD8"/>
    <w:rsid w:val="000A6F18"/>
    <w:rsid w:val="000A718A"/>
    <w:rsid w:val="000A730D"/>
    <w:rsid w:val="000A7435"/>
    <w:rsid w:val="000A7489"/>
    <w:rsid w:val="000A75EA"/>
    <w:rsid w:val="000A76EA"/>
    <w:rsid w:val="000A79B0"/>
    <w:rsid w:val="000A79C6"/>
    <w:rsid w:val="000A7B9E"/>
    <w:rsid w:val="000A7DB9"/>
    <w:rsid w:val="000B006F"/>
    <w:rsid w:val="000B0202"/>
    <w:rsid w:val="000B026D"/>
    <w:rsid w:val="000B033D"/>
    <w:rsid w:val="000B069D"/>
    <w:rsid w:val="000B0A7A"/>
    <w:rsid w:val="000B0ABA"/>
    <w:rsid w:val="000B0E0F"/>
    <w:rsid w:val="000B1052"/>
    <w:rsid w:val="000B11FD"/>
    <w:rsid w:val="000B121B"/>
    <w:rsid w:val="000B139E"/>
    <w:rsid w:val="000B14A6"/>
    <w:rsid w:val="000B1569"/>
    <w:rsid w:val="000B1706"/>
    <w:rsid w:val="000B192E"/>
    <w:rsid w:val="000B1F60"/>
    <w:rsid w:val="000B22E0"/>
    <w:rsid w:val="000B29E0"/>
    <w:rsid w:val="000B2A0A"/>
    <w:rsid w:val="000B2B0A"/>
    <w:rsid w:val="000B2B11"/>
    <w:rsid w:val="000B2C35"/>
    <w:rsid w:val="000B337A"/>
    <w:rsid w:val="000B344F"/>
    <w:rsid w:val="000B348C"/>
    <w:rsid w:val="000B3828"/>
    <w:rsid w:val="000B383C"/>
    <w:rsid w:val="000B3885"/>
    <w:rsid w:val="000B3967"/>
    <w:rsid w:val="000B3988"/>
    <w:rsid w:val="000B3C6C"/>
    <w:rsid w:val="000B3D48"/>
    <w:rsid w:val="000B3D66"/>
    <w:rsid w:val="000B42A9"/>
    <w:rsid w:val="000B443D"/>
    <w:rsid w:val="000B44BF"/>
    <w:rsid w:val="000B49E5"/>
    <w:rsid w:val="000B4BB8"/>
    <w:rsid w:val="000B4DBA"/>
    <w:rsid w:val="000B4DFE"/>
    <w:rsid w:val="000B5395"/>
    <w:rsid w:val="000B59C4"/>
    <w:rsid w:val="000B5BF7"/>
    <w:rsid w:val="000B5C19"/>
    <w:rsid w:val="000B5C5C"/>
    <w:rsid w:val="000B5D2A"/>
    <w:rsid w:val="000B5D99"/>
    <w:rsid w:val="000B5EFE"/>
    <w:rsid w:val="000B620E"/>
    <w:rsid w:val="000B6365"/>
    <w:rsid w:val="000B6413"/>
    <w:rsid w:val="000B6450"/>
    <w:rsid w:val="000B66C3"/>
    <w:rsid w:val="000B698E"/>
    <w:rsid w:val="000B69A5"/>
    <w:rsid w:val="000B7153"/>
    <w:rsid w:val="000B7160"/>
    <w:rsid w:val="000B7198"/>
    <w:rsid w:val="000B7472"/>
    <w:rsid w:val="000B74D7"/>
    <w:rsid w:val="000B7534"/>
    <w:rsid w:val="000B7637"/>
    <w:rsid w:val="000B76F6"/>
    <w:rsid w:val="000B7B4B"/>
    <w:rsid w:val="000B7D68"/>
    <w:rsid w:val="000B7E4F"/>
    <w:rsid w:val="000B7EC4"/>
    <w:rsid w:val="000B7F21"/>
    <w:rsid w:val="000C02B7"/>
    <w:rsid w:val="000C0501"/>
    <w:rsid w:val="000C0513"/>
    <w:rsid w:val="000C05CB"/>
    <w:rsid w:val="000C0655"/>
    <w:rsid w:val="000C094E"/>
    <w:rsid w:val="000C11CE"/>
    <w:rsid w:val="000C1269"/>
    <w:rsid w:val="000C136B"/>
    <w:rsid w:val="000C13C8"/>
    <w:rsid w:val="000C13CE"/>
    <w:rsid w:val="000C13E4"/>
    <w:rsid w:val="000C147A"/>
    <w:rsid w:val="000C14B2"/>
    <w:rsid w:val="000C1B62"/>
    <w:rsid w:val="000C1CE2"/>
    <w:rsid w:val="000C2025"/>
    <w:rsid w:val="000C20B8"/>
    <w:rsid w:val="000C2239"/>
    <w:rsid w:val="000C23AE"/>
    <w:rsid w:val="000C28F4"/>
    <w:rsid w:val="000C2BDB"/>
    <w:rsid w:val="000C2F3F"/>
    <w:rsid w:val="000C3481"/>
    <w:rsid w:val="000C365F"/>
    <w:rsid w:val="000C3935"/>
    <w:rsid w:val="000C3A13"/>
    <w:rsid w:val="000C3BB3"/>
    <w:rsid w:val="000C3BB9"/>
    <w:rsid w:val="000C3C61"/>
    <w:rsid w:val="000C3E8D"/>
    <w:rsid w:val="000C3F4C"/>
    <w:rsid w:val="000C440E"/>
    <w:rsid w:val="000C4591"/>
    <w:rsid w:val="000C46F3"/>
    <w:rsid w:val="000C4AFA"/>
    <w:rsid w:val="000C4BC2"/>
    <w:rsid w:val="000C4BD4"/>
    <w:rsid w:val="000C4D41"/>
    <w:rsid w:val="000C516C"/>
    <w:rsid w:val="000C51B0"/>
    <w:rsid w:val="000C5280"/>
    <w:rsid w:val="000C5637"/>
    <w:rsid w:val="000C57CB"/>
    <w:rsid w:val="000C57D9"/>
    <w:rsid w:val="000C59C6"/>
    <w:rsid w:val="000C5DDA"/>
    <w:rsid w:val="000C5E78"/>
    <w:rsid w:val="000C6042"/>
    <w:rsid w:val="000C60E2"/>
    <w:rsid w:val="000C640B"/>
    <w:rsid w:val="000C665A"/>
    <w:rsid w:val="000C6816"/>
    <w:rsid w:val="000C682E"/>
    <w:rsid w:val="000C6968"/>
    <w:rsid w:val="000C6BB1"/>
    <w:rsid w:val="000C6C77"/>
    <w:rsid w:val="000C6FE4"/>
    <w:rsid w:val="000C718F"/>
    <w:rsid w:val="000C77EE"/>
    <w:rsid w:val="000C783B"/>
    <w:rsid w:val="000C798A"/>
    <w:rsid w:val="000C79E5"/>
    <w:rsid w:val="000C7A40"/>
    <w:rsid w:val="000C7A87"/>
    <w:rsid w:val="000C7AD0"/>
    <w:rsid w:val="000C7C41"/>
    <w:rsid w:val="000C7DA8"/>
    <w:rsid w:val="000C7E63"/>
    <w:rsid w:val="000D000E"/>
    <w:rsid w:val="000D00A2"/>
    <w:rsid w:val="000D02D6"/>
    <w:rsid w:val="000D03B7"/>
    <w:rsid w:val="000D079E"/>
    <w:rsid w:val="000D089F"/>
    <w:rsid w:val="000D0C20"/>
    <w:rsid w:val="000D0C79"/>
    <w:rsid w:val="000D0D38"/>
    <w:rsid w:val="000D11F5"/>
    <w:rsid w:val="000D1298"/>
    <w:rsid w:val="000D13BB"/>
    <w:rsid w:val="000D173A"/>
    <w:rsid w:val="000D1817"/>
    <w:rsid w:val="000D185A"/>
    <w:rsid w:val="000D1AE4"/>
    <w:rsid w:val="000D1B58"/>
    <w:rsid w:val="000D1C1E"/>
    <w:rsid w:val="000D1C4F"/>
    <w:rsid w:val="000D1E35"/>
    <w:rsid w:val="000D1F87"/>
    <w:rsid w:val="000D2160"/>
    <w:rsid w:val="000D2296"/>
    <w:rsid w:val="000D230C"/>
    <w:rsid w:val="000D235E"/>
    <w:rsid w:val="000D2943"/>
    <w:rsid w:val="000D2A57"/>
    <w:rsid w:val="000D2A69"/>
    <w:rsid w:val="000D30A3"/>
    <w:rsid w:val="000D312B"/>
    <w:rsid w:val="000D324C"/>
    <w:rsid w:val="000D3311"/>
    <w:rsid w:val="000D33E3"/>
    <w:rsid w:val="000D3497"/>
    <w:rsid w:val="000D3516"/>
    <w:rsid w:val="000D3865"/>
    <w:rsid w:val="000D38FA"/>
    <w:rsid w:val="000D3B88"/>
    <w:rsid w:val="000D3E8F"/>
    <w:rsid w:val="000D3FD5"/>
    <w:rsid w:val="000D45A8"/>
    <w:rsid w:val="000D474E"/>
    <w:rsid w:val="000D4835"/>
    <w:rsid w:val="000D4D8B"/>
    <w:rsid w:val="000D4E74"/>
    <w:rsid w:val="000D504D"/>
    <w:rsid w:val="000D533E"/>
    <w:rsid w:val="000D536D"/>
    <w:rsid w:val="000D566F"/>
    <w:rsid w:val="000D58AD"/>
    <w:rsid w:val="000D58D6"/>
    <w:rsid w:val="000D5928"/>
    <w:rsid w:val="000D5A6D"/>
    <w:rsid w:val="000D5A90"/>
    <w:rsid w:val="000D5AE2"/>
    <w:rsid w:val="000D5C73"/>
    <w:rsid w:val="000D5C9C"/>
    <w:rsid w:val="000D5DB4"/>
    <w:rsid w:val="000D5F16"/>
    <w:rsid w:val="000D5FB8"/>
    <w:rsid w:val="000D6279"/>
    <w:rsid w:val="000D62DB"/>
    <w:rsid w:val="000D63DA"/>
    <w:rsid w:val="000D64F2"/>
    <w:rsid w:val="000D6658"/>
    <w:rsid w:val="000D6755"/>
    <w:rsid w:val="000D6AA2"/>
    <w:rsid w:val="000D6AC1"/>
    <w:rsid w:val="000D6AE3"/>
    <w:rsid w:val="000D6CB4"/>
    <w:rsid w:val="000D718A"/>
    <w:rsid w:val="000D7382"/>
    <w:rsid w:val="000D738C"/>
    <w:rsid w:val="000D7453"/>
    <w:rsid w:val="000D7555"/>
    <w:rsid w:val="000D7845"/>
    <w:rsid w:val="000D787C"/>
    <w:rsid w:val="000D78CF"/>
    <w:rsid w:val="000D7B16"/>
    <w:rsid w:val="000D7BBE"/>
    <w:rsid w:val="000D7CAE"/>
    <w:rsid w:val="000D7D14"/>
    <w:rsid w:val="000D7E09"/>
    <w:rsid w:val="000E0190"/>
    <w:rsid w:val="000E0322"/>
    <w:rsid w:val="000E07C9"/>
    <w:rsid w:val="000E091D"/>
    <w:rsid w:val="000E0A0F"/>
    <w:rsid w:val="000E0B19"/>
    <w:rsid w:val="000E0B30"/>
    <w:rsid w:val="000E0BC2"/>
    <w:rsid w:val="000E0CBD"/>
    <w:rsid w:val="000E0F6A"/>
    <w:rsid w:val="000E1089"/>
    <w:rsid w:val="000E128C"/>
    <w:rsid w:val="000E1459"/>
    <w:rsid w:val="000E1510"/>
    <w:rsid w:val="000E1B12"/>
    <w:rsid w:val="000E1C7F"/>
    <w:rsid w:val="000E1D0B"/>
    <w:rsid w:val="000E1ED9"/>
    <w:rsid w:val="000E1F85"/>
    <w:rsid w:val="000E2641"/>
    <w:rsid w:val="000E2724"/>
    <w:rsid w:val="000E280D"/>
    <w:rsid w:val="000E2873"/>
    <w:rsid w:val="000E2A32"/>
    <w:rsid w:val="000E2ABF"/>
    <w:rsid w:val="000E2AD7"/>
    <w:rsid w:val="000E2B58"/>
    <w:rsid w:val="000E2CDC"/>
    <w:rsid w:val="000E2F15"/>
    <w:rsid w:val="000E306E"/>
    <w:rsid w:val="000E3078"/>
    <w:rsid w:val="000E3291"/>
    <w:rsid w:val="000E34A7"/>
    <w:rsid w:val="000E3553"/>
    <w:rsid w:val="000E384B"/>
    <w:rsid w:val="000E3987"/>
    <w:rsid w:val="000E3A0B"/>
    <w:rsid w:val="000E3ED2"/>
    <w:rsid w:val="000E3F0E"/>
    <w:rsid w:val="000E408A"/>
    <w:rsid w:val="000E486A"/>
    <w:rsid w:val="000E4917"/>
    <w:rsid w:val="000E49F5"/>
    <w:rsid w:val="000E4C98"/>
    <w:rsid w:val="000E4D78"/>
    <w:rsid w:val="000E4E3F"/>
    <w:rsid w:val="000E4F67"/>
    <w:rsid w:val="000E500C"/>
    <w:rsid w:val="000E5052"/>
    <w:rsid w:val="000E50BB"/>
    <w:rsid w:val="000E5267"/>
    <w:rsid w:val="000E579E"/>
    <w:rsid w:val="000E58B9"/>
    <w:rsid w:val="000E5A6A"/>
    <w:rsid w:val="000E5B16"/>
    <w:rsid w:val="000E637D"/>
    <w:rsid w:val="000E656A"/>
    <w:rsid w:val="000E6718"/>
    <w:rsid w:val="000E6768"/>
    <w:rsid w:val="000E67DA"/>
    <w:rsid w:val="000E6BE7"/>
    <w:rsid w:val="000E6F1F"/>
    <w:rsid w:val="000E7403"/>
    <w:rsid w:val="000E7463"/>
    <w:rsid w:val="000E7692"/>
    <w:rsid w:val="000E7BBF"/>
    <w:rsid w:val="000E7D1C"/>
    <w:rsid w:val="000E7D6E"/>
    <w:rsid w:val="000E7D83"/>
    <w:rsid w:val="000E7F64"/>
    <w:rsid w:val="000F02C3"/>
    <w:rsid w:val="000F03BB"/>
    <w:rsid w:val="000F03BF"/>
    <w:rsid w:val="000F03EB"/>
    <w:rsid w:val="000F058F"/>
    <w:rsid w:val="000F0ABC"/>
    <w:rsid w:val="000F0B8A"/>
    <w:rsid w:val="000F0E13"/>
    <w:rsid w:val="000F0F48"/>
    <w:rsid w:val="000F0FD3"/>
    <w:rsid w:val="000F1139"/>
    <w:rsid w:val="000F1249"/>
    <w:rsid w:val="000F15D0"/>
    <w:rsid w:val="000F18BA"/>
    <w:rsid w:val="000F190E"/>
    <w:rsid w:val="000F1A0C"/>
    <w:rsid w:val="000F1A58"/>
    <w:rsid w:val="000F1A8B"/>
    <w:rsid w:val="000F1E55"/>
    <w:rsid w:val="000F2124"/>
    <w:rsid w:val="000F212F"/>
    <w:rsid w:val="000F2337"/>
    <w:rsid w:val="000F2515"/>
    <w:rsid w:val="000F2572"/>
    <w:rsid w:val="000F257B"/>
    <w:rsid w:val="000F2709"/>
    <w:rsid w:val="000F27DF"/>
    <w:rsid w:val="000F2900"/>
    <w:rsid w:val="000F291D"/>
    <w:rsid w:val="000F2A1A"/>
    <w:rsid w:val="000F2FD2"/>
    <w:rsid w:val="000F304B"/>
    <w:rsid w:val="000F3219"/>
    <w:rsid w:val="000F346C"/>
    <w:rsid w:val="000F3A60"/>
    <w:rsid w:val="000F3B68"/>
    <w:rsid w:val="000F3E3B"/>
    <w:rsid w:val="000F3E83"/>
    <w:rsid w:val="000F412B"/>
    <w:rsid w:val="000F434B"/>
    <w:rsid w:val="000F43D3"/>
    <w:rsid w:val="000F44B6"/>
    <w:rsid w:val="000F44D5"/>
    <w:rsid w:val="000F4502"/>
    <w:rsid w:val="000F474D"/>
    <w:rsid w:val="000F483B"/>
    <w:rsid w:val="000F4930"/>
    <w:rsid w:val="000F4A76"/>
    <w:rsid w:val="000F4AC4"/>
    <w:rsid w:val="000F4BBF"/>
    <w:rsid w:val="000F4C19"/>
    <w:rsid w:val="000F4C8E"/>
    <w:rsid w:val="000F4CDA"/>
    <w:rsid w:val="000F4E74"/>
    <w:rsid w:val="000F4F4F"/>
    <w:rsid w:val="000F5245"/>
    <w:rsid w:val="000F5352"/>
    <w:rsid w:val="000F5501"/>
    <w:rsid w:val="000F5596"/>
    <w:rsid w:val="000F59D2"/>
    <w:rsid w:val="000F5BEC"/>
    <w:rsid w:val="000F6215"/>
    <w:rsid w:val="000F65E7"/>
    <w:rsid w:val="000F69D4"/>
    <w:rsid w:val="000F6BA5"/>
    <w:rsid w:val="000F6D14"/>
    <w:rsid w:val="000F77BF"/>
    <w:rsid w:val="000F7A19"/>
    <w:rsid w:val="000F7AC7"/>
    <w:rsid w:val="000F7AF7"/>
    <w:rsid w:val="000F7C45"/>
    <w:rsid w:val="000F7F4C"/>
    <w:rsid w:val="00100087"/>
    <w:rsid w:val="00100150"/>
    <w:rsid w:val="001007FD"/>
    <w:rsid w:val="00100896"/>
    <w:rsid w:val="001009A3"/>
    <w:rsid w:val="00100BCA"/>
    <w:rsid w:val="0010133E"/>
    <w:rsid w:val="00101766"/>
    <w:rsid w:val="001017D2"/>
    <w:rsid w:val="001018CF"/>
    <w:rsid w:val="00101977"/>
    <w:rsid w:val="00101B0C"/>
    <w:rsid w:val="00101C02"/>
    <w:rsid w:val="00101CDF"/>
    <w:rsid w:val="001020B6"/>
    <w:rsid w:val="001020BC"/>
    <w:rsid w:val="0010212D"/>
    <w:rsid w:val="0010215C"/>
    <w:rsid w:val="001021CE"/>
    <w:rsid w:val="00102249"/>
    <w:rsid w:val="0010236C"/>
    <w:rsid w:val="0010273F"/>
    <w:rsid w:val="001027FC"/>
    <w:rsid w:val="001029E3"/>
    <w:rsid w:val="00102AF9"/>
    <w:rsid w:val="00102D67"/>
    <w:rsid w:val="00102D92"/>
    <w:rsid w:val="00102EE1"/>
    <w:rsid w:val="001036FE"/>
    <w:rsid w:val="00103999"/>
    <w:rsid w:val="00103AC7"/>
    <w:rsid w:val="00103B56"/>
    <w:rsid w:val="00103C4D"/>
    <w:rsid w:val="00103CF4"/>
    <w:rsid w:val="00103E84"/>
    <w:rsid w:val="00103FFE"/>
    <w:rsid w:val="00104039"/>
    <w:rsid w:val="00104366"/>
    <w:rsid w:val="001043B6"/>
    <w:rsid w:val="00104456"/>
    <w:rsid w:val="00104490"/>
    <w:rsid w:val="00104647"/>
    <w:rsid w:val="00104B3F"/>
    <w:rsid w:val="00104EE9"/>
    <w:rsid w:val="00104F5B"/>
    <w:rsid w:val="00105039"/>
    <w:rsid w:val="00105136"/>
    <w:rsid w:val="00105491"/>
    <w:rsid w:val="00105A8F"/>
    <w:rsid w:val="00105B15"/>
    <w:rsid w:val="00105DD2"/>
    <w:rsid w:val="00105EA4"/>
    <w:rsid w:val="00105ECA"/>
    <w:rsid w:val="00106067"/>
    <w:rsid w:val="00106ED4"/>
    <w:rsid w:val="00107100"/>
    <w:rsid w:val="0010780E"/>
    <w:rsid w:val="0010787E"/>
    <w:rsid w:val="0010796B"/>
    <w:rsid w:val="00107C20"/>
    <w:rsid w:val="00107F02"/>
    <w:rsid w:val="00110400"/>
    <w:rsid w:val="0011043A"/>
    <w:rsid w:val="0011045C"/>
    <w:rsid w:val="001105B5"/>
    <w:rsid w:val="001106B4"/>
    <w:rsid w:val="001108C7"/>
    <w:rsid w:val="00110B93"/>
    <w:rsid w:val="00110BE2"/>
    <w:rsid w:val="00110DA8"/>
    <w:rsid w:val="00110F4F"/>
    <w:rsid w:val="001113F4"/>
    <w:rsid w:val="0011146F"/>
    <w:rsid w:val="0011172F"/>
    <w:rsid w:val="00111881"/>
    <w:rsid w:val="001119E9"/>
    <w:rsid w:val="00111D68"/>
    <w:rsid w:val="00111F64"/>
    <w:rsid w:val="001120B1"/>
    <w:rsid w:val="00112458"/>
    <w:rsid w:val="00112498"/>
    <w:rsid w:val="0011252D"/>
    <w:rsid w:val="0011293C"/>
    <w:rsid w:val="00112BFE"/>
    <w:rsid w:val="00112D4D"/>
    <w:rsid w:val="00112D80"/>
    <w:rsid w:val="00112DD9"/>
    <w:rsid w:val="0011311D"/>
    <w:rsid w:val="00113197"/>
    <w:rsid w:val="001131FA"/>
    <w:rsid w:val="0011327C"/>
    <w:rsid w:val="001137F9"/>
    <w:rsid w:val="001138BA"/>
    <w:rsid w:val="001139AB"/>
    <w:rsid w:val="00113B7B"/>
    <w:rsid w:val="00113BEA"/>
    <w:rsid w:val="00113DCF"/>
    <w:rsid w:val="00113F3A"/>
    <w:rsid w:val="001144CA"/>
    <w:rsid w:val="001148D5"/>
    <w:rsid w:val="00114924"/>
    <w:rsid w:val="00114A9A"/>
    <w:rsid w:val="00114BD5"/>
    <w:rsid w:val="00115082"/>
    <w:rsid w:val="00115124"/>
    <w:rsid w:val="001151F9"/>
    <w:rsid w:val="0011529A"/>
    <w:rsid w:val="00115345"/>
    <w:rsid w:val="001156CA"/>
    <w:rsid w:val="00115967"/>
    <w:rsid w:val="00115E82"/>
    <w:rsid w:val="00115E8F"/>
    <w:rsid w:val="00115EB5"/>
    <w:rsid w:val="00115EE9"/>
    <w:rsid w:val="00115FC2"/>
    <w:rsid w:val="001160AF"/>
    <w:rsid w:val="001161C9"/>
    <w:rsid w:val="001161D7"/>
    <w:rsid w:val="001163B5"/>
    <w:rsid w:val="00116410"/>
    <w:rsid w:val="001164B9"/>
    <w:rsid w:val="001164E0"/>
    <w:rsid w:val="001166B5"/>
    <w:rsid w:val="00116B7C"/>
    <w:rsid w:val="00116B88"/>
    <w:rsid w:val="00116C56"/>
    <w:rsid w:val="00116F2E"/>
    <w:rsid w:val="00117238"/>
    <w:rsid w:val="00117278"/>
    <w:rsid w:val="001172DA"/>
    <w:rsid w:val="0011737C"/>
    <w:rsid w:val="0011740F"/>
    <w:rsid w:val="00117554"/>
    <w:rsid w:val="001177FA"/>
    <w:rsid w:val="001179E8"/>
    <w:rsid w:val="00117A34"/>
    <w:rsid w:val="00117E4E"/>
    <w:rsid w:val="00117F0A"/>
    <w:rsid w:val="00117F0D"/>
    <w:rsid w:val="00120014"/>
    <w:rsid w:val="00120238"/>
    <w:rsid w:val="001203B9"/>
    <w:rsid w:val="00120415"/>
    <w:rsid w:val="00120504"/>
    <w:rsid w:val="00120524"/>
    <w:rsid w:val="0012067C"/>
    <w:rsid w:val="00120760"/>
    <w:rsid w:val="00120800"/>
    <w:rsid w:val="00120A28"/>
    <w:rsid w:val="00120DA3"/>
    <w:rsid w:val="001211FC"/>
    <w:rsid w:val="001212F8"/>
    <w:rsid w:val="00121481"/>
    <w:rsid w:val="001214D9"/>
    <w:rsid w:val="0012167E"/>
    <w:rsid w:val="001218C1"/>
    <w:rsid w:val="001218CB"/>
    <w:rsid w:val="00121AB0"/>
    <w:rsid w:val="00121B50"/>
    <w:rsid w:val="00121F48"/>
    <w:rsid w:val="001221E0"/>
    <w:rsid w:val="001221FD"/>
    <w:rsid w:val="001222B7"/>
    <w:rsid w:val="00122687"/>
    <w:rsid w:val="001226A2"/>
    <w:rsid w:val="00122E08"/>
    <w:rsid w:val="00122E48"/>
    <w:rsid w:val="00122EF0"/>
    <w:rsid w:val="00123570"/>
    <w:rsid w:val="001238B5"/>
    <w:rsid w:val="00123DE8"/>
    <w:rsid w:val="001241A7"/>
    <w:rsid w:val="001241B5"/>
    <w:rsid w:val="00124211"/>
    <w:rsid w:val="001244C7"/>
    <w:rsid w:val="00124C0B"/>
    <w:rsid w:val="001250DD"/>
    <w:rsid w:val="001252FD"/>
    <w:rsid w:val="00125585"/>
    <w:rsid w:val="00125642"/>
    <w:rsid w:val="001259CE"/>
    <w:rsid w:val="00125A89"/>
    <w:rsid w:val="00125BA7"/>
    <w:rsid w:val="00125C47"/>
    <w:rsid w:val="00125CEE"/>
    <w:rsid w:val="0012607F"/>
    <w:rsid w:val="00126260"/>
    <w:rsid w:val="0012653B"/>
    <w:rsid w:val="00126752"/>
    <w:rsid w:val="0012693A"/>
    <w:rsid w:val="00126A43"/>
    <w:rsid w:val="00126AFE"/>
    <w:rsid w:val="00126B6D"/>
    <w:rsid w:val="00126B77"/>
    <w:rsid w:val="00126C89"/>
    <w:rsid w:val="00126D0A"/>
    <w:rsid w:val="00126DCC"/>
    <w:rsid w:val="00126DE4"/>
    <w:rsid w:val="00126E1E"/>
    <w:rsid w:val="00126F6C"/>
    <w:rsid w:val="0012737C"/>
    <w:rsid w:val="001275E6"/>
    <w:rsid w:val="00127661"/>
    <w:rsid w:val="00127801"/>
    <w:rsid w:val="00127E51"/>
    <w:rsid w:val="00127F1E"/>
    <w:rsid w:val="00127F23"/>
    <w:rsid w:val="00127FA8"/>
    <w:rsid w:val="0013015D"/>
    <w:rsid w:val="001301BE"/>
    <w:rsid w:val="0013063D"/>
    <w:rsid w:val="001307AC"/>
    <w:rsid w:val="001307C1"/>
    <w:rsid w:val="00130B74"/>
    <w:rsid w:val="00130CE5"/>
    <w:rsid w:val="00130E31"/>
    <w:rsid w:val="0013106F"/>
    <w:rsid w:val="00131095"/>
    <w:rsid w:val="00131241"/>
    <w:rsid w:val="0013138F"/>
    <w:rsid w:val="00131424"/>
    <w:rsid w:val="001315D6"/>
    <w:rsid w:val="0013171A"/>
    <w:rsid w:val="00131A67"/>
    <w:rsid w:val="00131D11"/>
    <w:rsid w:val="00131E19"/>
    <w:rsid w:val="001321F1"/>
    <w:rsid w:val="001321FC"/>
    <w:rsid w:val="001326AF"/>
    <w:rsid w:val="00132EBA"/>
    <w:rsid w:val="00133172"/>
    <w:rsid w:val="001331AE"/>
    <w:rsid w:val="0013326E"/>
    <w:rsid w:val="001332A4"/>
    <w:rsid w:val="00133429"/>
    <w:rsid w:val="00133542"/>
    <w:rsid w:val="001335FE"/>
    <w:rsid w:val="00133821"/>
    <w:rsid w:val="00133AD7"/>
    <w:rsid w:val="00133BF1"/>
    <w:rsid w:val="00133C3B"/>
    <w:rsid w:val="00133EF3"/>
    <w:rsid w:val="0013403A"/>
    <w:rsid w:val="001341C2"/>
    <w:rsid w:val="00134266"/>
    <w:rsid w:val="001342CE"/>
    <w:rsid w:val="00134307"/>
    <w:rsid w:val="001343C7"/>
    <w:rsid w:val="00134430"/>
    <w:rsid w:val="001344E5"/>
    <w:rsid w:val="00134646"/>
    <w:rsid w:val="001347AC"/>
    <w:rsid w:val="001349C6"/>
    <w:rsid w:val="001349E1"/>
    <w:rsid w:val="00134B11"/>
    <w:rsid w:val="00134DB9"/>
    <w:rsid w:val="00135042"/>
    <w:rsid w:val="001351DC"/>
    <w:rsid w:val="00135341"/>
    <w:rsid w:val="0013542C"/>
    <w:rsid w:val="00135626"/>
    <w:rsid w:val="00135910"/>
    <w:rsid w:val="001359E6"/>
    <w:rsid w:val="00135A0A"/>
    <w:rsid w:val="00135ACB"/>
    <w:rsid w:val="001361D6"/>
    <w:rsid w:val="001362A8"/>
    <w:rsid w:val="001362E4"/>
    <w:rsid w:val="001365AA"/>
    <w:rsid w:val="001366A9"/>
    <w:rsid w:val="0013680A"/>
    <w:rsid w:val="001368C8"/>
    <w:rsid w:val="00136AB5"/>
    <w:rsid w:val="00136B94"/>
    <w:rsid w:val="00136C16"/>
    <w:rsid w:val="00136E8F"/>
    <w:rsid w:val="00136F52"/>
    <w:rsid w:val="001371E6"/>
    <w:rsid w:val="001372C2"/>
    <w:rsid w:val="00137528"/>
    <w:rsid w:val="00137949"/>
    <w:rsid w:val="00137A3A"/>
    <w:rsid w:val="00137AD1"/>
    <w:rsid w:val="00137B5D"/>
    <w:rsid w:val="00137C2A"/>
    <w:rsid w:val="001400B7"/>
    <w:rsid w:val="00140193"/>
    <w:rsid w:val="0014021C"/>
    <w:rsid w:val="001404C1"/>
    <w:rsid w:val="00140705"/>
    <w:rsid w:val="00140CDA"/>
    <w:rsid w:val="00140D90"/>
    <w:rsid w:val="00140ECF"/>
    <w:rsid w:val="00140FC3"/>
    <w:rsid w:val="0014106D"/>
    <w:rsid w:val="0014143E"/>
    <w:rsid w:val="001415A7"/>
    <w:rsid w:val="00141749"/>
    <w:rsid w:val="00141805"/>
    <w:rsid w:val="001418C7"/>
    <w:rsid w:val="00141A82"/>
    <w:rsid w:val="00141BB8"/>
    <w:rsid w:val="00141CD5"/>
    <w:rsid w:val="00141DBF"/>
    <w:rsid w:val="00141DCE"/>
    <w:rsid w:val="00141E28"/>
    <w:rsid w:val="001420A2"/>
    <w:rsid w:val="001421FB"/>
    <w:rsid w:val="00142348"/>
    <w:rsid w:val="0014238E"/>
    <w:rsid w:val="00142819"/>
    <w:rsid w:val="00142944"/>
    <w:rsid w:val="00142A20"/>
    <w:rsid w:val="00142AA9"/>
    <w:rsid w:val="00142C80"/>
    <w:rsid w:val="00142D57"/>
    <w:rsid w:val="00142E65"/>
    <w:rsid w:val="001430CA"/>
    <w:rsid w:val="0014328C"/>
    <w:rsid w:val="001433A0"/>
    <w:rsid w:val="001433C3"/>
    <w:rsid w:val="001435D3"/>
    <w:rsid w:val="001435ED"/>
    <w:rsid w:val="001436A8"/>
    <w:rsid w:val="0014386E"/>
    <w:rsid w:val="00144203"/>
    <w:rsid w:val="00144818"/>
    <w:rsid w:val="00144865"/>
    <w:rsid w:val="00144887"/>
    <w:rsid w:val="0014489F"/>
    <w:rsid w:val="00144BFD"/>
    <w:rsid w:val="00144F8F"/>
    <w:rsid w:val="00144F98"/>
    <w:rsid w:val="0014507F"/>
    <w:rsid w:val="001453B2"/>
    <w:rsid w:val="001454E2"/>
    <w:rsid w:val="001458B9"/>
    <w:rsid w:val="0014590A"/>
    <w:rsid w:val="0014597B"/>
    <w:rsid w:val="00145A97"/>
    <w:rsid w:val="00145B5C"/>
    <w:rsid w:val="0014643C"/>
    <w:rsid w:val="001467E2"/>
    <w:rsid w:val="001469C6"/>
    <w:rsid w:val="00146D60"/>
    <w:rsid w:val="00146D62"/>
    <w:rsid w:val="00146DA4"/>
    <w:rsid w:val="00146FCD"/>
    <w:rsid w:val="001472F2"/>
    <w:rsid w:val="0014784E"/>
    <w:rsid w:val="00147A4E"/>
    <w:rsid w:val="00147B92"/>
    <w:rsid w:val="00147C67"/>
    <w:rsid w:val="00147FAB"/>
    <w:rsid w:val="001501AF"/>
    <w:rsid w:val="00150469"/>
    <w:rsid w:val="001505BB"/>
    <w:rsid w:val="00150620"/>
    <w:rsid w:val="0015078D"/>
    <w:rsid w:val="001507A0"/>
    <w:rsid w:val="00150B33"/>
    <w:rsid w:val="00150EB0"/>
    <w:rsid w:val="00150EF1"/>
    <w:rsid w:val="00151094"/>
    <w:rsid w:val="0015122B"/>
    <w:rsid w:val="0015152D"/>
    <w:rsid w:val="00151547"/>
    <w:rsid w:val="0015154B"/>
    <w:rsid w:val="00151672"/>
    <w:rsid w:val="00151825"/>
    <w:rsid w:val="00151905"/>
    <w:rsid w:val="00151BE2"/>
    <w:rsid w:val="00151DE3"/>
    <w:rsid w:val="00152038"/>
    <w:rsid w:val="001520D8"/>
    <w:rsid w:val="00152115"/>
    <w:rsid w:val="001522D0"/>
    <w:rsid w:val="00152442"/>
    <w:rsid w:val="00152510"/>
    <w:rsid w:val="00152781"/>
    <w:rsid w:val="00152797"/>
    <w:rsid w:val="001529E8"/>
    <w:rsid w:val="00152D34"/>
    <w:rsid w:val="00152EE9"/>
    <w:rsid w:val="00152F0D"/>
    <w:rsid w:val="0015337C"/>
    <w:rsid w:val="001533CA"/>
    <w:rsid w:val="00153582"/>
    <w:rsid w:val="0015359D"/>
    <w:rsid w:val="00153B2D"/>
    <w:rsid w:val="00153B9B"/>
    <w:rsid w:val="00153CC5"/>
    <w:rsid w:val="00153EDD"/>
    <w:rsid w:val="00153F79"/>
    <w:rsid w:val="001543B2"/>
    <w:rsid w:val="001543EE"/>
    <w:rsid w:val="001544FD"/>
    <w:rsid w:val="001548A8"/>
    <w:rsid w:val="0015491C"/>
    <w:rsid w:val="00154AD4"/>
    <w:rsid w:val="00154FEA"/>
    <w:rsid w:val="00155021"/>
    <w:rsid w:val="00155109"/>
    <w:rsid w:val="001552A2"/>
    <w:rsid w:val="001553E4"/>
    <w:rsid w:val="0015575A"/>
    <w:rsid w:val="0015588C"/>
    <w:rsid w:val="001558DB"/>
    <w:rsid w:val="001559B9"/>
    <w:rsid w:val="00155B24"/>
    <w:rsid w:val="00155B52"/>
    <w:rsid w:val="00155D63"/>
    <w:rsid w:val="001561D1"/>
    <w:rsid w:val="00156288"/>
    <w:rsid w:val="00156337"/>
    <w:rsid w:val="00156484"/>
    <w:rsid w:val="001565B7"/>
    <w:rsid w:val="00156629"/>
    <w:rsid w:val="00156959"/>
    <w:rsid w:val="00156ABB"/>
    <w:rsid w:val="00156EB0"/>
    <w:rsid w:val="00156F26"/>
    <w:rsid w:val="00156F48"/>
    <w:rsid w:val="001572DB"/>
    <w:rsid w:val="0015738D"/>
    <w:rsid w:val="001574B9"/>
    <w:rsid w:val="001576A1"/>
    <w:rsid w:val="001577D9"/>
    <w:rsid w:val="00157896"/>
    <w:rsid w:val="00157A14"/>
    <w:rsid w:val="00157B08"/>
    <w:rsid w:val="00157C2F"/>
    <w:rsid w:val="00157EF5"/>
    <w:rsid w:val="0016091F"/>
    <w:rsid w:val="00160C26"/>
    <w:rsid w:val="00160C84"/>
    <w:rsid w:val="00160C95"/>
    <w:rsid w:val="00160E91"/>
    <w:rsid w:val="001610DF"/>
    <w:rsid w:val="00161217"/>
    <w:rsid w:val="0016141A"/>
    <w:rsid w:val="001614EB"/>
    <w:rsid w:val="00161667"/>
    <w:rsid w:val="00161911"/>
    <w:rsid w:val="001619CE"/>
    <w:rsid w:val="00161B24"/>
    <w:rsid w:val="00161BF2"/>
    <w:rsid w:val="00161DA9"/>
    <w:rsid w:val="00161DC3"/>
    <w:rsid w:val="00161E3D"/>
    <w:rsid w:val="00161E50"/>
    <w:rsid w:val="00161FA1"/>
    <w:rsid w:val="001622FB"/>
    <w:rsid w:val="001623AA"/>
    <w:rsid w:val="001623BD"/>
    <w:rsid w:val="001623D6"/>
    <w:rsid w:val="0016247D"/>
    <w:rsid w:val="001624D6"/>
    <w:rsid w:val="00162A59"/>
    <w:rsid w:val="00162AF9"/>
    <w:rsid w:val="00162B2C"/>
    <w:rsid w:val="00163673"/>
    <w:rsid w:val="0016389D"/>
    <w:rsid w:val="001639CB"/>
    <w:rsid w:val="00163A13"/>
    <w:rsid w:val="00163DB8"/>
    <w:rsid w:val="00163EA6"/>
    <w:rsid w:val="00163F4E"/>
    <w:rsid w:val="0016412E"/>
    <w:rsid w:val="00164331"/>
    <w:rsid w:val="00164640"/>
    <w:rsid w:val="00164660"/>
    <w:rsid w:val="001648A7"/>
    <w:rsid w:val="001648FD"/>
    <w:rsid w:val="00164D2B"/>
    <w:rsid w:val="00164DC1"/>
    <w:rsid w:val="00165061"/>
    <w:rsid w:val="001650D8"/>
    <w:rsid w:val="0016513E"/>
    <w:rsid w:val="0016532A"/>
    <w:rsid w:val="00165445"/>
    <w:rsid w:val="0016545D"/>
    <w:rsid w:val="00165645"/>
    <w:rsid w:val="001656D4"/>
    <w:rsid w:val="0016576C"/>
    <w:rsid w:val="00165896"/>
    <w:rsid w:val="00165BE3"/>
    <w:rsid w:val="00165C9B"/>
    <w:rsid w:val="00165EE9"/>
    <w:rsid w:val="00165FA6"/>
    <w:rsid w:val="0016611F"/>
    <w:rsid w:val="00166125"/>
    <w:rsid w:val="001662E8"/>
    <w:rsid w:val="0016643C"/>
    <w:rsid w:val="00166482"/>
    <w:rsid w:val="001665F2"/>
    <w:rsid w:val="00166899"/>
    <w:rsid w:val="001668B2"/>
    <w:rsid w:val="00166AFB"/>
    <w:rsid w:val="00166B55"/>
    <w:rsid w:val="00166CFB"/>
    <w:rsid w:val="00167119"/>
    <w:rsid w:val="001672C0"/>
    <w:rsid w:val="00167830"/>
    <w:rsid w:val="001679E9"/>
    <w:rsid w:val="00167C5A"/>
    <w:rsid w:val="00167C96"/>
    <w:rsid w:val="00167DA1"/>
    <w:rsid w:val="00167F57"/>
    <w:rsid w:val="001702F9"/>
    <w:rsid w:val="00170663"/>
    <w:rsid w:val="001706E8"/>
    <w:rsid w:val="00170A5D"/>
    <w:rsid w:val="00170A63"/>
    <w:rsid w:val="00170ADD"/>
    <w:rsid w:val="00170F96"/>
    <w:rsid w:val="00171312"/>
    <w:rsid w:val="0017158C"/>
    <w:rsid w:val="00171A79"/>
    <w:rsid w:val="00171DEE"/>
    <w:rsid w:val="00171F69"/>
    <w:rsid w:val="001720D3"/>
    <w:rsid w:val="00172352"/>
    <w:rsid w:val="00172407"/>
    <w:rsid w:val="001724A0"/>
    <w:rsid w:val="001724DE"/>
    <w:rsid w:val="00172534"/>
    <w:rsid w:val="00172761"/>
    <w:rsid w:val="00172823"/>
    <w:rsid w:val="001728AF"/>
    <w:rsid w:val="00172A70"/>
    <w:rsid w:val="00172BF9"/>
    <w:rsid w:val="00172DF8"/>
    <w:rsid w:val="00172E95"/>
    <w:rsid w:val="00172F05"/>
    <w:rsid w:val="00172FE6"/>
    <w:rsid w:val="0017310B"/>
    <w:rsid w:val="001732D2"/>
    <w:rsid w:val="001733A8"/>
    <w:rsid w:val="00173472"/>
    <w:rsid w:val="001734C8"/>
    <w:rsid w:val="00173ACA"/>
    <w:rsid w:val="00173D40"/>
    <w:rsid w:val="00173EB5"/>
    <w:rsid w:val="0017414F"/>
    <w:rsid w:val="00174677"/>
    <w:rsid w:val="00174847"/>
    <w:rsid w:val="00174933"/>
    <w:rsid w:val="00174986"/>
    <w:rsid w:val="00174A9E"/>
    <w:rsid w:val="00174C25"/>
    <w:rsid w:val="00174C68"/>
    <w:rsid w:val="00174C70"/>
    <w:rsid w:val="00174CF0"/>
    <w:rsid w:val="00174DC5"/>
    <w:rsid w:val="00174E3E"/>
    <w:rsid w:val="00174ED0"/>
    <w:rsid w:val="0017516E"/>
    <w:rsid w:val="001751C9"/>
    <w:rsid w:val="0017542F"/>
    <w:rsid w:val="001755C1"/>
    <w:rsid w:val="0017560B"/>
    <w:rsid w:val="001757BD"/>
    <w:rsid w:val="00175916"/>
    <w:rsid w:val="0017598A"/>
    <w:rsid w:val="00175BD0"/>
    <w:rsid w:val="00175EFA"/>
    <w:rsid w:val="00176152"/>
    <w:rsid w:val="0017656F"/>
    <w:rsid w:val="001766AD"/>
    <w:rsid w:val="001766EF"/>
    <w:rsid w:val="00176850"/>
    <w:rsid w:val="00176A02"/>
    <w:rsid w:val="00176B5C"/>
    <w:rsid w:val="00176E9D"/>
    <w:rsid w:val="00176FE7"/>
    <w:rsid w:val="0017724C"/>
    <w:rsid w:val="0017732E"/>
    <w:rsid w:val="0017759A"/>
    <w:rsid w:val="001776AA"/>
    <w:rsid w:val="001777D8"/>
    <w:rsid w:val="00177BD9"/>
    <w:rsid w:val="00177E65"/>
    <w:rsid w:val="0018003B"/>
    <w:rsid w:val="0018041C"/>
    <w:rsid w:val="0018065D"/>
    <w:rsid w:val="001806E2"/>
    <w:rsid w:val="00180A69"/>
    <w:rsid w:val="00180E44"/>
    <w:rsid w:val="00180E77"/>
    <w:rsid w:val="00180F29"/>
    <w:rsid w:val="00180F95"/>
    <w:rsid w:val="00180FD5"/>
    <w:rsid w:val="00181104"/>
    <w:rsid w:val="001811F1"/>
    <w:rsid w:val="00181217"/>
    <w:rsid w:val="0018123A"/>
    <w:rsid w:val="001813A1"/>
    <w:rsid w:val="0018162B"/>
    <w:rsid w:val="0018167B"/>
    <w:rsid w:val="001817EF"/>
    <w:rsid w:val="001818B8"/>
    <w:rsid w:val="001818F9"/>
    <w:rsid w:val="001819A9"/>
    <w:rsid w:val="00181B02"/>
    <w:rsid w:val="00181CC1"/>
    <w:rsid w:val="00181DEE"/>
    <w:rsid w:val="00181E18"/>
    <w:rsid w:val="00181EDC"/>
    <w:rsid w:val="001820A2"/>
    <w:rsid w:val="00182136"/>
    <w:rsid w:val="0018220A"/>
    <w:rsid w:val="001824A7"/>
    <w:rsid w:val="0018297D"/>
    <w:rsid w:val="001829DD"/>
    <w:rsid w:val="00182A44"/>
    <w:rsid w:val="00182AD9"/>
    <w:rsid w:val="00182BBE"/>
    <w:rsid w:val="00182F8A"/>
    <w:rsid w:val="00182FEC"/>
    <w:rsid w:val="001833CB"/>
    <w:rsid w:val="001837D6"/>
    <w:rsid w:val="0018393A"/>
    <w:rsid w:val="00183B60"/>
    <w:rsid w:val="00183B69"/>
    <w:rsid w:val="00183E1F"/>
    <w:rsid w:val="00183E50"/>
    <w:rsid w:val="00183F43"/>
    <w:rsid w:val="00183F8A"/>
    <w:rsid w:val="00183FEB"/>
    <w:rsid w:val="00184090"/>
    <w:rsid w:val="001841A9"/>
    <w:rsid w:val="001842EC"/>
    <w:rsid w:val="001846C8"/>
    <w:rsid w:val="001846D8"/>
    <w:rsid w:val="00184804"/>
    <w:rsid w:val="00184A6F"/>
    <w:rsid w:val="00184A73"/>
    <w:rsid w:val="00184B2F"/>
    <w:rsid w:val="0018520F"/>
    <w:rsid w:val="00185347"/>
    <w:rsid w:val="0018578C"/>
    <w:rsid w:val="0018586F"/>
    <w:rsid w:val="00185A57"/>
    <w:rsid w:val="00185B6C"/>
    <w:rsid w:val="00185ECF"/>
    <w:rsid w:val="00186164"/>
    <w:rsid w:val="00186339"/>
    <w:rsid w:val="001863DA"/>
    <w:rsid w:val="00186515"/>
    <w:rsid w:val="0018658F"/>
    <w:rsid w:val="001867D9"/>
    <w:rsid w:val="0018680E"/>
    <w:rsid w:val="0018697C"/>
    <w:rsid w:val="00186A32"/>
    <w:rsid w:val="00186EB4"/>
    <w:rsid w:val="0018705F"/>
    <w:rsid w:val="00187351"/>
    <w:rsid w:val="00187469"/>
    <w:rsid w:val="001878EA"/>
    <w:rsid w:val="00187BBA"/>
    <w:rsid w:val="00187E78"/>
    <w:rsid w:val="00187EE2"/>
    <w:rsid w:val="00187FC0"/>
    <w:rsid w:val="0019037D"/>
    <w:rsid w:val="00190B07"/>
    <w:rsid w:val="00190CB7"/>
    <w:rsid w:val="00190DF3"/>
    <w:rsid w:val="00191210"/>
    <w:rsid w:val="00191236"/>
    <w:rsid w:val="0019130F"/>
    <w:rsid w:val="001913E7"/>
    <w:rsid w:val="001915B6"/>
    <w:rsid w:val="00191DD4"/>
    <w:rsid w:val="00191DE1"/>
    <w:rsid w:val="00191DE8"/>
    <w:rsid w:val="00191DFF"/>
    <w:rsid w:val="00192038"/>
    <w:rsid w:val="00192152"/>
    <w:rsid w:val="0019217D"/>
    <w:rsid w:val="001921F6"/>
    <w:rsid w:val="0019233B"/>
    <w:rsid w:val="0019239B"/>
    <w:rsid w:val="00192520"/>
    <w:rsid w:val="001929C9"/>
    <w:rsid w:val="00192BB0"/>
    <w:rsid w:val="00192EDC"/>
    <w:rsid w:val="00193077"/>
    <w:rsid w:val="0019319D"/>
    <w:rsid w:val="0019341A"/>
    <w:rsid w:val="001934A2"/>
    <w:rsid w:val="0019351C"/>
    <w:rsid w:val="001935B2"/>
    <w:rsid w:val="0019379C"/>
    <w:rsid w:val="001937CE"/>
    <w:rsid w:val="001938A0"/>
    <w:rsid w:val="00193929"/>
    <w:rsid w:val="00193C7D"/>
    <w:rsid w:val="00193C83"/>
    <w:rsid w:val="00193D4D"/>
    <w:rsid w:val="00193DFA"/>
    <w:rsid w:val="00194025"/>
    <w:rsid w:val="0019424B"/>
    <w:rsid w:val="001942F0"/>
    <w:rsid w:val="001943AA"/>
    <w:rsid w:val="001945C6"/>
    <w:rsid w:val="00194928"/>
    <w:rsid w:val="0019492D"/>
    <w:rsid w:val="00194A10"/>
    <w:rsid w:val="00194C1B"/>
    <w:rsid w:val="00194CE3"/>
    <w:rsid w:val="00194CEA"/>
    <w:rsid w:val="00194D37"/>
    <w:rsid w:val="00194E4E"/>
    <w:rsid w:val="0019514F"/>
    <w:rsid w:val="00195337"/>
    <w:rsid w:val="0019543A"/>
    <w:rsid w:val="001957A6"/>
    <w:rsid w:val="00195884"/>
    <w:rsid w:val="0019599F"/>
    <w:rsid w:val="00195B5A"/>
    <w:rsid w:val="0019604F"/>
    <w:rsid w:val="001960EE"/>
    <w:rsid w:val="0019612D"/>
    <w:rsid w:val="00196244"/>
    <w:rsid w:val="001964CA"/>
    <w:rsid w:val="00196519"/>
    <w:rsid w:val="0019666C"/>
    <w:rsid w:val="001968BD"/>
    <w:rsid w:val="00196BB4"/>
    <w:rsid w:val="00196F0A"/>
    <w:rsid w:val="00197054"/>
    <w:rsid w:val="0019706D"/>
    <w:rsid w:val="00197155"/>
    <w:rsid w:val="0019722F"/>
    <w:rsid w:val="00197393"/>
    <w:rsid w:val="00197491"/>
    <w:rsid w:val="00197499"/>
    <w:rsid w:val="0019752A"/>
    <w:rsid w:val="00197625"/>
    <w:rsid w:val="0019762E"/>
    <w:rsid w:val="001978A0"/>
    <w:rsid w:val="00197BED"/>
    <w:rsid w:val="00197D3E"/>
    <w:rsid w:val="00197D5D"/>
    <w:rsid w:val="00197EB5"/>
    <w:rsid w:val="00197FA4"/>
    <w:rsid w:val="001A0056"/>
    <w:rsid w:val="001A01DA"/>
    <w:rsid w:val="001A0310"/>
    <w:rsid w:val="001A03CC"/>
    <w:rsid w:val="001A0663"/>
    <w:rsid w:val="001A0B0B"/>
    <w:rsid w:val="001A0BCA"/>
    <w:rsid w:val="001A0D8F"/>
    <w:rsid w:val="001A109A"/>
    <w:rsid w:val="001A11ED"/>
    <w:rsid w:val="001A12F9"/>
    <w:rsid w:val="001A13EB"/>
    <w:rsid w:val="001A1403"/>
    <w:rsid w:val="001A1620"/>
    <w:rsid w:val="001A1623"/>
    <w:rsid w:val="001A198E"/>
    <w:rsid w:val="001A19D0"/>
    <w:rsid w:val="001A1BAC"/>
    <w:rsid w:val="001A1BFC"/>
    <w:rsid w:val="001A1D79"/>
    <w:rsid w:val="001A21E8"/>
    <w:rsid w:val="001A22F7"/>
    <w:rsid w:val="001A2339"/>
    <w:rsid w:val="001A2379"/>
    <w:rsid w:val="001A2510"/>
    <w:rsid w:val="001A255C"/>
    <w:rsid w:val="001A25D9"/>
    <w:rsid w:val="001A2760"/>
    <w:rsid w:val="001A27FF"/>
    <w:rsid w:val="001A2853"/>
    <w:rsid w:val="001A2B5A"/>
    <w:rsid w:val="001A2C7E"/>
    <w:rsid w:val="001A2CDF"/>
    <w:rsid w:val="001A2D6F"/>
    <w:rsid w:val="001A2E30"/>
    <w:rsid w:val="001A310D"/>
    <w:rsid w:val="001A312C"/>
    <w:rsid w:val="001A3216"/>
    <w:rsid w:val="001A3578"/>
    <w:rsid w:val="001A37B6"/>
    <w:rsid w:val="001A3927"/>
    <w:rsid w:val="001A39CA"/>
    <w:rsid w:val="001A3F0E"/>
    <w:rsid w:val="001A4046"/>
    <w:rsid w:val="001A416D"/>
    <w:rsid w:val="001A4633"/>
    <w:rsid w:val="001A4667"/>
    <w:rsid w:val="001A4761"/>
    <w:rsid w:val="001A4B09"/>
    <w:rsid w:val="001A4C40"/>
    <w:rsid w:val="001A4EEE"/>
    <w:rsid w:val="001A4EFE"/>
    <w:rsid w:val="001A4F75"/>
    <w:rsid w:val="001A526C"/>
    <w:rsid w:val="001A55CE"/>
    <w:rsid w:val="001A5B4B"/>
    <w:rsid w:val="001A5BA2"/>
    <w:rsid w:val="001A5CAF"/>
    <w:rsid w:val="001A5D55"/>
    <w:rsid w:val="001A5FB3"/>
    <w:rsid w:val="001A603F"/>
    <w:rsid w:val="001A605C"/>
    <w:rsid w:val="001A6193"/>
    <w:rsid w:val="001A62C2"/>
    <w:rsid w:val="001A66D2"/>
    <w:rsid w:val="001A66E0"/>
    <w:rsid w:val="001A684D"/>
    <w:rsid w:val="001A6BD4"/>
    <w:rsid w:val="001A6C3E"/>
    <w:rsid w:val="001A6C6F"/>
    <w:rsid w:val="001A6CA4"/>
    <w:rsid w:val="001A6D9E"/>
    <w:rsid w:val="001A70E8"/>
    <w:rsid w:val="001A72A8"/>
    <w:rsid w:val="001A72ED"/>
    <w:rsid w:val="001A738F"/>
    <w:rsid w:val="001A751D"/>
    <w:rsid w:val="001A7915"/>
    <w:rsid w:val="001A796F"/>
    <w:rsid w:val="001A7A22"/>
    <w:rsid w:val="001A7A6F"/>
    <w:rsid w:val="001A7E89"/>
    <w:rsid w:val="001B0065"/>
    <w:rsid w:val="001B0186"/>
    <w:rsid w:val="001B0332"/>
    <w:rsid w:val="001B0393"/>
    <w:rsid w:val="001B03B3"/>
    <w:rsid w:val="001B0500"/>
    <w:rsid w:val="001B07AF"/>
    <w:rsid w:val="001B0C6A"/>
    <w:rsid w:val="001B0C6B"/>
    <w:rsid w:val="001B0CD4"/>
    <w:rsid w:val="001B0F04"/>
    <w:rsid w:val="001B1017"/>
    <w:rsid w:val="001B126C"/>
    <w:rsid w:val="001B134E"/>
    <w:rsid w:val="001B13BF"/>
    <w:rsid w:val="001B14AF"/>
    <w:rsid w:val="001B15EA"/>
    <w:rsid w:val="001B1674"/>
    <w:rsid w:val="001B170D"/>
    <w:rsid w:val="001B198F"/>
    <w:rsid w:val="001B1D97"/>
    <w:rsid w:val="001B1DCD"/>
    <w:rsid w:val="001B1F2B"/>
    <w:rsid w:val="001B2110"/>
    <w:rsid w:val="001B2211"/>
    <w:rsid w:val="001B23D3"/>
    <w:rsid w:val="001B2506"/>
    <w:rsid w:val="001B2E22"/>
    <w:rsid w:val="001B3192"/>
    <w:rsid w:val="001B3220"/>
    <w:rsid w:val="001B32CE"/>
    <w:rsid w:val="001B3383"/>
    <w:rsid w:val="001B3880"/>
    <w:rsid w:val="001B3972"/>
    <w:rsid w:val="001B3A41"/>
    <w:rsid w:val="001B3E77"/>
    <w:rsid w:val="001B3F96"/>
    <w:rsid w:val="001B3FD3"/>
    <w:rsid w:val="001B40B7"/>
    <w:rsid w:val="001B4125"/>
    <w:rsid w:val="001B419B"/>
    <w:rsid w:val="001B4366"/>
    <w:rsid w:val="001B43B4"/>
    <w:rsid w:val="001B44A4"/>
    <w:rsid w:val="001B472F"/>
    <w:rsid w:val="001B480D"/>
    <w:rsid w:val="001B49AE"/>
    <w:rsid w:val="001B4C1E"/>
    <w:rsid w:val="001B508B"/>
    <w:rsid w:val="001B53F4"/>
    <w:rsid w:val="001B54B7"/>
    <w:rsid w:val="001B57D5"/>
    <w:rsid w:val="001B597B"/>
    <w:rsid w:val="001B59BA"/>
    <w:rsid w:val="001B5E27"/>
    <w:rsid w:val="001B5FCA"/>
    <w:rsid w:val="001B6044"/>
    <w:rsid w:val="001B63CA"/>
    <w:rsid w:val="001B63F5"/>
    <w:rsid w:val="001B6496"/>
    <w:rsid w:val="001B6707"/>
    <w:rsid w:val="001B6901"/>
    <w:rsid w:val="001B6E3D"/>
    <w:rsid w:val="001B6F96"/>
    <w:rsid w:val="001B6FC4"/>
    <w:rsid w:val="001B6FD4"/>
    <w:rsid w:val="001B713B"/>
    <w:rsid w:val="001B7188"/>
    <w:rsid w:val="001B76FC"/>
    <w:rsid w:val="001B77F4"/>
    <w:rsid w:val="001B797C"/>
    <w:rsid w:val="001B7A25"/>
    <w:rsid w:val="001B7B40"/>
    <w:rsid w:val="001B7D38"/>
    <w:rsid w:val="001B7E44"/>
    <w:rsid w:val="001B7E99"/>
    <w:rsid w:val="001C0147"/>
    <w:rsid w:val="001C03A9"/>
    <w:rsid w:val="001C0527"/>
    <w:rsid w:val="001C093C"/>
    <w:rsid w:val="001C09AD"/>
    <w:rsid w:val="001C0AD2"/>
    <w:rsid w:val="001C0B57"/>
    <w:rsid w:val="001C0F14"/>
    <w:rsid w:val="001C10DF"/>
    <w:rsid w:val="001C11BF"/>
    <w:rsid w:val="001C1331"/>
    <w:rsid w:val="001C134C"/>
    <w:rsid w:val="001C16F9"/>
    <w:rsid w:val="001C1712"/>
    <w:rsid w:val="001C173D"/>
    <w:rsid w:val="001C17BB"/>
    <w:rsid w:val="001C17C0"/>
    <w:rsid w:val="001C184D"/>
    <w:rsid w:val="001C1BB9"/>
    <w:rsid w:val="001C1F8E"/>
    <w:rsid w:val="001C200E"/>
    <w:rsid w:val="001C20DC"/>
    <w:rsid w:val="001C228F"/>
    <w:rsid w:val="001C2401"/>
    <w:rsid w:val="001C2778"/>
    <w:rsid w:val="001C28C2"/>
    <w:rsid w:val="001C292B"/>
    <w:rsid w:val="001C2A9D"/>
    <w:rsid w:val="001C2ACB"/>
    <w:rsid w:val="001C2B3E"/>
    <w:rsid w:val="001C2C4C"/>
    <w:rsid w:val="001C2DAC"/>
    <w:rsid w:val="001C2F47"/>
    <w:rsid w:val="001C2F8A"/>
    <w:rsid w:val="001C3071"/>
    <w:rsid w:val="001C338E"/>
    <w:rsid w:val="001C346A"/>
    <w:rsid w:val="001C34FC"/>
    <w:rsid w:val="001C35A8"/>
    <w:rsid w:val="001C37E7"/>
    <w:rsid w:val="001C3944"/>
    <w:rsid w:val="001C3A1B"/>
    <w:rsid w:val="001C3EC1"/>
    <w:rsid w:val="001C3F63"/>
    <w:rsid w:val="001C412E"/>
    <w:rsid w:val="001C43DE"/>
    <w:rsid w:val="001C4572"/>
    <w:rsid w:val="001C473F"/>
    <w:rsid w:val="001C4920"/>
    <w:rsid w:val="001C5233"/>
    <w:rsid w:val="001C595C"/>
    <w:rsid w:val="001C5961"/>
    <w:rsid w:val="001C5A93"/>
    <w:rsid w:val="001C5B2A"/>
    <w:rsid w:val="001C5C2D"/>
    <w:rsid w:val="001C5CB3"/>
    <w:rsid w:val="001C5F51"/>
    <w:rsid w:val="001C6011"/>
    <w:rsid w:val="001C646A"/>
    <w:rsid w:val="001C67AF"/>
    <w:rsid w:val="001C6D19"/>
    <w:rsid w:val="001C6F3A"/>
    <w:rsid w:val="001C7036"/>
    <w:rsid w:val="001C705E"/>
    <w:rsid w:val="001C7372"/>
    <w:rsid w:val="001C75E6"/>
    <w:rsid w:val="001C7779"/>
    <w:rsid w:val="001C79C5"/>
    <w:rsid w:val="001C7A4A"/>
    <w:rsid w:val="001C7BD7"/>
    <w:rsid w:val="001C7E09"/>
    <w:rsid w:val="001C7EC0"/>
    <w:rsid w:val="001C7F31"/>
    <w:rsid w:val="001D030E"/>
    <w:rsid w:val="001D0763"/>
    <w:rsid w:val="001D07BD"/>
    <w:rsid w:val="001D0866"/>
    <w:rsid w:val="001D0CE8"/>
    <w:rsid w:val="001D100E"/>
    <w:rsid w:val="001D1234"/>
    <w:rsid w:val="001D167E"/>
    <w:rsid w:val="001D171B"/>
    <w:rsid w:val="001D19FB"/>
    <w:rsid w:val="001D1B1C"/>
    <w:rsid w:val="001D1DF1"/>
    <w:rsid w:val="001D1E67"/>
    <w:rsid w:val="001D1EA1"/>
    <w:rsid w:val="001D1F39"/>
    <w:rsid w:val="001D214A"/>
    <w:rsid w:val="001D21BF"/>
    <w:rsid w:val="001D221C"/>
    <w:rsid w:val="001D222D"/>
    <w:rsid w:val="001D2272"/>
    <w:rsid w:val="001D2616"/>
    <w:rsid w:val="001D294D"/>
    <w:rsid w:val="001D29F7"/>
    <w:rsid w:val="001D2A04"/>
    <w:rsid w:val="001D2B83"/>
    <w:rsid w:val="001D2DB4"/>
    <w:rsid w:val="001D2F95"/>
    <w:rsid w:val="001D3115"/>
    <w:rsid w:val="001D3168"/>
    <w:rsid w:val="001D33FB"/>
    <w:rsid w:val="001D350D"/>
    <w:rsid w:val="001D3559"/>
    <w:rsid w:val="001D3650"/>
    <w:rsid w:val="001D36CB"/>
    <w:rsid w:val="001D38D6"/>
    <w:rsid w:val="001D3B95"/>
    <w:rsid w:val="001D3E05"/>
    <w:rsid w:val="001D3E25"/>
    <w:rsid w:val="001D3F56"/>
    <w:rsid w:val="001D4218"/>
    <w:rsid w:val="001D43BB"/>
    <w:rsid w:val="001D4717"/>
    <w:rsid w:val="001D482C"/>
    <w:rsid w:val="001D4AB8"/>
    <w:rsid w:val="001D4D34"/>
    <w:rsid w:val="001D4E6D"/>
    <w:rsid w:val="001D51A6"/>
    <w:rsid w:val="001D5325"/>
    <w:rsid w:val="001D5496"/>
    <w:rsid w:val="001D5542"/>
    <w:rsid w:val="001D5725"/>
    <w:rsid w:val="001D580A"/>
    <w:rsid w:val="001D5975"/>
    <w:rsid w:val="001D5C00"/>
    <w:rsid w:val="001D5F03"/>
    <w:rsid w:val="001D5F97"/>
    <w:rsid w:val="001D6016"/>
    <w:rsid w:val="001D61F5"/>
    <w:rsid w:val="001D62DB"/>
    <w:rsid w:val="001D630A"/>
    <w:rsid w:val="001D670A"/>
    <w:rsid w:val="001D68E2"/>
    <w:rsid w:val="001D6BC0"/>
    <w:rsid w:val="001D6F77"/>
    <w:rsid w:val="001D7012"/>
    <w:rsid w:val="001D71C3"/>
    <w:rsid w:val="001D775A"/>
    <w:rsid w:val="001D78A6"/>
    <w:rsid w:val="001D78BE"/>
    <w:rsid w:val="001D7CA2"/>
    <w:rsid w:val="001D7EAB"/>
    <w:rsid w:val="001E0147"/>
    <w:rsid w:val="001E01FE"/>
    <w:rsid w:val="001E07C8"/>
    <w:rsid w:val="001E093B"/>
    <w:rsid w:val="001E0C3D"/>
    <w:rsid w:val="001E0C8A"/>
    <w:rsid w:val="001E0FA2"/>
    <w:rsid w:val="001E12F4"/>
    <w:rsid w:val="001E1386"/>
    <w:rsid w:val="001E1451"/>
    <w:rsid w:val="001E14B4"/>
    <w:rsid w:val="001E19C8"/>
    <w:rsid w:val="001E19E2"/>
    <w:rsid w:val="001E1AA5"/>
    <w:rsid w:val="001E1DFB"/>
    <w:rsid w:val="001E1EBA"/>
    <w:rsid w:val="001E1EC3"/>
    <w:rsid w:val="001E227F"/>
    <w:rsid w:val="001E23B6"/>
    <w:rsid w:val="001E2594"/>
    <w:rsid w:val="001E2969"/>
    <w:rsid w:val="001E2F10"/>
    <w:rsid w:val="001E2F22"/>
    <w:rsid w:val="001E2FEB"/>
    <w:rsid w:val="001E32BE"/>
    <w:rsid w:val="001E3398"/>
    <w:rsid w:val="001E36B5"/>
    <w:rsid w:val="001E36FD"/>
    <w:rsid w:val="001E3757"/>
    <w:rsid w:val="001E376D"/>
    <w:rsid w:val="001E3784"/>
    <w:rsid w:val="001E3ECC"/>
    <w:rsid w:val="001E4112"/>
    <w:rsid w:val="001E4265"/>
    <w:rsid w:val="001E4402"/>
    <w:rsid w:val="001E4520"/>
    <w:rsid w:val="001E4564"/>
    <w:rsid w:val="001E45FB"/>
    <w:rsid w:val="001E4650"/>
    <w:rsid w:val="001E4BB3"/>
    <w:rsid w:val="001E4D43"/>
    <w:rsid w:val="001E4EEB"/>
    <w:rsid w:val="001E5475"/>
    <w:rsid w:val="001E5679"/>
    <w:rsid w:val="001E583A"/>
    <w:rsid w:val="001E5966"/>
    <w:rsid w:val="001E5B38"/>
    <w:rsid w:val="001E5B90"/>
    <w:rsid w:val="001E5F53"/>
    <w:rsid w:val="001E602C"/>
    <w:rsid w:val="001E60CC"/>
    <w:rsid w:val="001E625E"/>
    <w:rsid w:val="001E6531"/>
    <w:rsid w:val="001E6537"/>
    <w:rsid w:val="001E6742"/>
    <w:rsid w:val="001E6929"/>
    <w:rsid w:val="001E699E"/>
    <w:rsid w:val="001E69DE"/>
    <w:rsid w:val="001E6B54"/>
    <w:rsid w:val="001E6C87"/>
    <w:rsid w:val="001E6D43"/>
    <w:rsid w:val="001E6EED"/>
    <w:rsid w:val="001E705B"/>
    <w:rsid w:val="001E709B"/>
    <w:rsid w:val="001E72D2"/>
    <w:rsid w:val="001E7780"/>
    <w:rsid w:val="001E7926"/>
    <w:rsid w:val="001E7BE6"/>
    <w:rsid w:val="001E7DD7"/>
    <w:rsid w:val="001E7E71"/>
    <w:rsid w:val="001F030A"/>
    <w:rsid w:val="001F0479"/>
    <w:rsid w:val="001F04A5"/>
    <w:rsid w:val="001F04D5"/>
    <w:rsid w:val="001F04F5"/>
    <w:rsid w:val="001F05CA"/>
    <w:rsid w:val="001F0660"/>
    <w:rsid w:val="001F0689"/>
    <w:rsid w:val="001F0874"/>
    <w:rsid w:val="001F097E"/>
    <w:rsid w:val="001F09A9"/>
    <w:rsid w:val="001F0BA3"/>
    <w:rsid w:val="001F0D95"/>
    <w:rsid w:val="001F17EC"/>
    <w:rsid w:val="001F18CD"/>
    <w:rsid w:val="001F2025"/>
    <w:rsid w:val="001F2124"/>
    <w:rsid w:val="001F25FE"/>
    <w:rsid w:val="001F2838"/>
    <w:rsid w:val="001F28CB"/>
    <w:rsid w:val="001F29F1"/>
    <w:rsid w:val="001F2A57"/>
    <w:rsid w:val="001F2C61"/>
    <w:rsid w:val="001F2FAD"/>
    <w:rsid w:val="001F30A6"/>
    <w:rsid w:val="001F30B5"/>
    <w:rsid w:val="001F359F"/>
    <w:rsid w:val="001F3816"/>
    <w:rsid w:val="001F3B8F"/>
    <w:rsid w:val="001F3DF6"/>
    <w:rsid w:val="001F3DFC"/>
    <w:rsid w:val="001F3F7A"/>
    <w:rsid w:val="001F421C"/>
    <w:rsid w:val="001F43FA"/>
    <w:rsid w:val="001F44C4"/>
    <w:rsid w:val="001F467D"/>
    <w:rsid w:val="001F46C4"/>
    <w:rsid w:val="001F4892"/>
    <w:rsid w:val="001F48DE"/>
    <w:rsid w:val="001F48E8"/>
    <w:rsid w:val="001F4CA2"/>
    <w:rsid w:val="001F4CEB"/>
    <w:rsid w:val="001F4E91"/>
    <w:rsid w:val="001F5092"/>
    <w:rsid w:val="001F5195"/>
    <w:rsid w:val="001F5292"/>
    <w:rsid w:val="001F52F0"/>
    <w:rsid w:val="001F540B"/>
    <w:rsid w:val="001F5574"/>
    <w:rsid w:val="001F5677"/>
    <w:rsid w:val="001F572B"/>
    <w:rsid w:val="001F5B91"/>
    <w:rsid w:val="001F5BEC"/>
    <w:rsid w:val="001F5DEA"/>
    <w:rsid w:val="001F5DEB"/>
    <w:rsid w:val="001F5E4F"/>
    <w:rsid w:val="001F5F8B"/>
    <w:rsid w:val="001F61D0"/>
    <w:rsid w:val="001F67DF"/>
    <w:rsid w:val="001F6DC5"/>
    <w:rsid w:val="001F6EB2"/>
    <w:rsid w:val="001F6F4B"/>
    <w:rsid w:val="001F6FE4"/>
    <w:rsid w:val="001F70D2"/>
    <w:rsid w:val="001F7338"/>
    <w:rsid w:val="001F7551"/>
    <w:rsid w:val="001F7641"/>
    <w:rsid w:val="001F7665"/>
    <w:rsid w:val="001F7723"/>
    <w:rsid w:val="001F7860"/>
    <w:rsid w:val="001F7884"/>
    <w:rsid w:val="001F7898"/>
    <w:rsid w:val="001F78B6"/>
    <w:rsid w:val="001F7AA6"/>
    <w:rsid w:val="0020005E"/>
    <w:rsid w:val="002000BD"/>
    <w:rsid w:val="00200161"/>
    <w:rsid w:val="002001CB"/>
    <w:rsid w:val="0020035B"/>
    <w:rsid w:val="00200512"/>
    <w:rsid w:val="00200642"/>
    <w:rsid w:val="002007DB"/>
    <w:rsid w:val="00200C4B"/>
    <w:rsid w:val="00200C8F"/>
    <w:rsid w:val="00200C93"/>
    <w:rsid w:val="00200E06"/>
    <w:rsid w:val="002011AE"/>
    <w:rsid w:val="0020165B"/>
    <w:rsid w:val="002017DD"/>
    <w:rsid w:val="00201839"/>
    <w:rsid w:val="002019B5"/>
    <w:rsid w:val="00201B2A"/>
    <w:rsid w:val="00201BA8"/>
    <w:rsid w:val="00201D4E"/>
    <w:rsid w:val="00201E75"/>
    <w:rsid w:val="00201EF8"/>
    <w:rsid w:val="00201F1B"/>
    <w:rsid w:val="002020AB"/>
    <w:rsid w:val="00202422"/>
    <w:rsid w:val="0020244D"/>
    <w:rsid w:val="0020249E"/>
    <w:rsid w:val="0020250E"/>
    <w:rsid w:val="00202614"/>
    <w:rsid w:val="002026C3"/>
    <w:rsid w:val="002028B0"/>
    <w:rsid w:val="0020292D"/>
    <w:rsid w:val="002029D7"/>
    <w:rsid w:val="00202AA8"/>
    <w:rsid w:val="00202B70"/>
    <w:rsid w:val="00202E5E"/>
    <w:rsid w:val="002030B0"/>
    <w:rsid w:val="002031B6"/>
    <w:rsid w:val="0020333A"/>
    <w:rsid w:val="002034AC"/>
    <w:rsid w:val="0020350F"/>
    <w:rsid w:val="0020352D"/>
    <w:rsid w:val="00203669"/>
    <w:rsid w:val="00203785"/>
    <w:rsid w:val="00203C44"/>
    <w:rsid w:val="00203C83"/>
    <w:rsid w:val="00203E59"/>
    <w:rsid w:val="00204990"/>
    <w:rsid w:val="00204B37"/>
    <w:rsid w:val="00204B3F"/>
    <w:rsid w:val="00204B67"/>
    <w:rsid w:val="00204D76"/>
    <w:rsid w:val="00204F70"/>
    <w:rsid w:val="0020509C"/>
    <w:rsid w:val="002057A9"/>
    <w:rsid w:val="002057C3"/>
    <w:rsid w:val="002058F7"/>
    <w:rsid w:val="002058F8"/>
    <w:rsid w:val="0020590B"/>
    <w:rsid w:val="00205928"/>
    <w:rsid w:val="002059D2"/>
    <w:rsid w:val="00205A02"/>
    <w:rsid w:val="00205A12"/>
    <w:rsid w:val="00205BCE"/>
    <w:rsid w:val="00205CB0"/>
    <w:rsid w:val="00205D20"/>
    <w:rsid w:val="00205F86"/>
    <w:rsid w:val="002061F8"/>
    <w:rsid w:val="00206284"/>
    <w:rsid w:val="00206417"/>
    <w:rsid w:val="002064CC"/>
    <w:rsid w:val="00206693"/>
    <w:rsid w:val="002067F7"/>
    <w:rsid w:val="0020693D"/>
    <w:rsid w:val="00206AB5"/>
    <w:rsid w:val="00206AE3"/>
    <w:rsid w:val="00206B9A"/>
    <w:rsid w:val="00206BA8"/>
    <w:rsid w:val="00207004"/>
    <w:rsid w:val="0020749A"/>
    <w:rsid w:val="00207673"/>
    <w:rsid w:val="00207CC3"/>
    <w:rsid w:val="00207CF2"/>
    <w:rsid w:val="00207F03"/>
    <w:rsid w:val="002102CC"/>
    <w:rsid w:val="002102EA"/>
    <w:rsid w:val="00210342"/>
    <w:rsid w:val="0021053E"/>
    <w:rsid w:val="002105CD"/>
    <w:rsid w:val="00210FD9"/>
    <w:rsid w:val="00211012"/>
    <w:rsid w:val="002112AE"/>
    <w:rsid w:val="00211463"/>
    <w:rsid w:val="002117C2"/>
    <w:rsid w:val="002118B5"/>
    <w:rsid w:val="002118D5"/>
    <w:rsid w:val="002119FE"/>
    <w:rsid w:val="00211B26"/>
    <w:rsid w:val="00211C1B"/>
    <w:rsid w:val="00211D2F"/>
    <w:rsid w:val="00211D48"/>
    <w:rsid w:val="00211D4C"/>
    <w:rsid w:val="0021222E"/>
    <w:rsid w:val="0021256A"/>
    <w:rsid w:val="0021256C"/>
    <w:rsid w:val="002125D9"/>
    <w:rsid w:val="002126DC"/>
    <w:rsid w:val="0021287D"/>
    <w:rsid w:val="00212A41"/>
    <w:rsid w:val="00212A5C"/>
    <w:rsid w:val="00212B6D"/>
    <w:rsid w:val="00212BF1"/>
    <w:rsid w:val="00212F03"/>
    <w:rsid w:val="002136BF"/>
    <w:rsid w:val="00213A1F"/>
    <w:rsid w:val="00213C3F"/>
    <w:rsid w:val="00213E30"/>
    <w:rsid w:val="0021409D"/>
    <w:rsid w:val="0021414C"/>
    <w:rsid w:val="002143E3"/>
    <w:rsid w:val="0021446E"/>
    <w:rsid w:val="00214477"/>
    <w:rsid w:val="00214585"/>
    <w:rsid w:val="0021461B"/>
    <w:rsid w:val="00214675"/>
    <w:rsid w:val="0021477F"/>
    <w:rsid w:val="00214AED"/>
    <w:rsid w:val="00214B01"/>
    <w:rsid w:val="002150EB"/>
    <w:rsid w:val="002154B1"/>
    <w:rsid w:val="002156FA"/>
    <w:rsid w:val="00215808"/>
    <w:rsid w:val="00215833"/>
    <w:rsid w:val="00215B8E"/>
    <w:rsid w:val="00215C37"/>
    <w:rsid w:val="00215ECF"/>
    <w:rsid w:val="002160D7"/>
    <w:rsid w:val="002165AB"/>
    <w:rsid w:val="00216743"/>
    <w:rsid w:val="002168C7"/>
    <w:rsid w:val="00216B09"/>
    <w:rsid w:val="00216BC3"/>
    <w:rsid w:val="00216DE3"/>
    <w:rsid w:val="00216E24"/>
    <w:rsid w:val="00217265"/>
    <w:rsid w:val="0021733A"/>
    <w:rsid w:val="002175F5"/>
    <w:rsid w:val="00217A8B"/>
    <w:rsid w:val="0022043B"/>
    <w:rsid w:val="0022061B"/>
    <w:rsid w:val="002207C3"/>
    <w:rsid w:val="002207CE"/>
    <w:rsid w:val="00220B21"/>
    <w:rsid w:val="00220D14"/>
    <w:rsid w:val="00220FCC"/>
    <w:rsid w:val="00221241"/>
    <w:rsid w:val="00221258"/>
    <w:rsid w:val="0022189D"/>
    <w:rsid w:val="002218BF"/>
    <w:rsid w:val="00221B6F"/>
    <w:rsid w:val="00221F61"/>
    <w:rsid w:val="0022200D"/>
    <w:rsid w:val="002225AC"/>
    <w:rsid w:val="002226E6"/>
    <w:rsid w:val="0022293B"/>
    <w:rsid w:val="002229A3"/>
    <w:rsid w:val="00222A21"/>
    <w:rsid w:val="00222A69"/>
    <w:rsid w:val="00222A9A"/>
    <w:rsid w:val="00222B5E"/>
    <w:rsid w:val="00222D77"/>
    <w:rsid w:val="002232B7"/>
    <w:rsid w:val="00223498"/>
    <w:rsid w:val="0022365C"/>
    <w:rsid w:val="00223726"/>
    <w:rsid w:val="002237C9"/>
    <w:rsid w:val="00224085"/>
    <w:rsid w:val="00224267"/>
    <w:rsid w:val="0022429D"/>
    <w:rsid w:val="002243A7"/>
    <w:rsid w:val="00224934"/>
    <w:rsid w:val="00224AD8"/>
    <w:rsid w:val="00224C07"/>
    <w:rsid w:val="00224C64"/>
    <w:rsid w:val="00224CD2"/>
    <w:rsid w:val="00224DE9"/>
    <w:rsid w:val="002250A3"/>
    <w:rsid w:val="00225287"/>
    <w:rsid w:val="00225362"/>
    <w:rsid w:val="00225403"/>
    <w:rsid w:val="0022547B"/>
    <w:rsid w:val="00225559"/>
    <w:rsid w:val="0022561F"/>
    <w:rsid w:val="00225917"/>
    <w:rsid w:val="002259A3"/>
    <w:rsid w:val="002259BA"/>
    <w:rsid w:val="00225A27"/>
    <w:rsid w:val="00225A71"/>
    <w:rsid w:val="00225FD3"/>
    <w:rsid w:val="00226167"/>
    <w:rsid w:val="00226271"/>
    <w:rsid w:val="00226535"/>
    <w:rsid w:val="0022664A"/>
    <w:rsid w:val="00226789"/>
    <w:rsid w:val="00226A74"/>
    <w:rsid w:val="00226A90"/>
    <w:rsid w:val="00226C96"/>
    <w:rsid w:val="00226E1F"/>
    <w:rsid w:val="00226F19"/>
    <w:rsid w:val="002270B5"/>
    <w:rsid w:val="002272C1"/>
    <w:rsid w:val="0022755C"/>
    <w:rsid w:val="0022760A"/>
    <w:rsid w:val="002277CF"/>
    <w:rsid w:val="00227C22"/>
    <w:rsid w:val="00227C6E"/>
    <w:rsid w:val="00227E18"/>
    <w:rsid w:val="00227FDD"/>
    <w:rsid w:val="002300E0"/>
    <w:rsid w:val="002301AA"/>
    <w:rsid w:val="00230298"/>
    <w:rsid w:val="00230305"/>
    <w:rsid w:val="0023047D"/>
    <w:rsid w:val="002307F1"/>
    <w:rsid w:val="0023085D"/>
    <w:rsid w:val="00230D1D"/>
    <w:rsid w:val="0023118F"/>
    <w:rsid w:val="002312E5"/>
    <w:rsid w:val="00231703"/>
    <w:rsid w:val="00231866"/>
    <w:rsid w:val="00231B99"/>
    <w:rsid w:val="00231EA6"/>
    <w:rsid w:val="002320FA"/>
    <w:rsid w:val="00232131"/>
    <w:rsid w:val="00232162"/>
    <w:rsid w:val="002321E8"/>
    <w:rsid w:val="00232205"/>
    <w:rsid w:val="0023224A"/>
    <w:rsid w:val="00232415"/>
    <w:rsid w:val="002326F0"/>
    <w:rsid w:val="002328A0"/>
    <w:rsid w:val="002328E3"/>
    <w:rsid w:val="0023290F"/>
    <w:rsid w:val="00232940"/>
    <w:rsid w:val="00232CC0"/>
    <w:rsid w:val="00232E67"/>
    <w:rsid w:val="002336E6"/>
    <w:rsid w:val="00233856"/>
    <w:rsid w:val="00233B79"/>
    <w:rsid w:val="00233FDC"/>
    <w:rsid w:val="00233FEF"/>
    <w:rsid w:val="0023418C"/>
    <w:rsid w:val="0023424C"/>
    <w:rsid w:val="00234290"/>
    <w:rsid w:val="00234342"/>
    <w:rsid w:val="0023440A"/>
    <w:rsid w:val="00234664"/>
    <w:rsid w:val="002346B6"/>
    <w:rsid w:val="0023485B"/>
    <w:rsid w:val="00234A6E"/>
    <w:rsid w:val="00234C17"/>
    <w:rsid w:val="00234D4A"/>
    <w:rsid w:val="00234DA0"/>
    <w:rsid w:val="00234F43"/>
    <w:rsid w:val="00234FDA"/>
    <w:rsid w:val="0023555E"/>
    <w:rsid w:val="00235A30"/>
    <w:rsid w:val="00235B0F"/>
    <w:rsid w:val="00235B76"/>
    <w:rsid w:val="00235D4D"/>
    <w:rsid w:val="00235E38"/>
    <w:rsid w:val="00235E8C"/>
    <w:rsid w:val="00236773"/>
    <w:rsid w:val="002368C2"/>
    <w:rsid w:val="00236AB7"/>
    <w:rsid w:val="00236B09"/>
    <w:rsid w:val="00236D62"/>
    <w:rsid w:val="00236E96"/>
    <w:rsid w:val="00236F98"/>
    <w:rsid w:val="002371B2"/>
    <w:rsid w:val="00237223"/>
    <w:rsid w:val="00237274"/>
    <w:rsid w:val="002373BA"/>
    <w:rsid w:val="00237424"/>
    <w:rsid w:val="0023742A"/>
    <w:rsid w:val="00237434"/>
    <w:rsid w:val="0023758A"/>
    <w:rsid w:val="00237881"/>
    <w:rsid w:val="002378B3"/>
    <w:rsid w:val="002378C4"/>
    <w:rsid w:val="0023794B"/>
    <w:rsid w:val="00237D85"/>
    <w:rsid w:val="00237E89"/>
    <w:rsid w:val="0024052E"/>
    <w:rsid w:val="00240841"/>
    <w:rsid w:val="0024090A"/>
    <w:rsid w:val="00240A65"/>
    <w:rsid w:val="00240C7B"/>
    <w:rsid w:val="00240CD9"/>
    <w:rsid w:val="00240F2D"/>
    <w:rsid w:val="002412D1"/>
    <w:rsid w:val="00241394"/>
    <w:rsid w:val="002413DB"/>
    <w:rsid w:val="00241682"/>
    <w:rsid w:val="0024189D"/>
    <w:rsid w:val="002419AF"/>
    <w:rsid w:val="00241AD3"/>
    <w:rsid w:val="00241FBE"/>
    <w:rsid w:val="00242372"/>
    <w:rsid w:val="002423BB"/>
    <w:rsid w:val="002424F4"/>
    <w:rsid w:val="00242643"/>
    <w:rsid w:val="002426C2"/>
    <w:rsid w:val="002426EA"/>
    <w:rsid w:val="002427F0"/>
    <w:rsid w:val="00242834"/>
    <w:rsid w:val="002429E4"/>
    <w:rsid w:val="00242D5E"/>
    <w:rsid w:val="00242DC3"/>
    <w:rsid w:val="002432D9"/>
    <w:rsid w:val="00243322"/>
    <w:rsid w:val="002436DE"/>
    <w:rsid w:val="00243700"/>
    <w:rsid w:val="0024374C"/>
    <w:rsid w:val="002439B4"/>
    <w:rsid w:val="00243A35"/>
    <w:rsid w:val="00243C51"/>
    <w:rsid w:val="00243F1B"/>
    <w:rsid w:val="0024417E"/>
    <w:rsid w:val="00244682"/>
    <w:rsid w:val="00244A17"/>
    <w:rsid w:val="00244AAA"/>
    <w:rsid w:val="00244BA1"/>
    <w:rsid w:val="00244BF2"/>
    <w:rsid w:val="00244C1C"/>
    <w:rsid w:val="00244D50"/>
    <w:rsid w:val="00244E81"/>
    <w:rsid w:val="00244F08"/>
    <w:rsid w:val="00244F8D"/>
    <w:rsid w:val="002450FE"/>
    <w:rsid w:val="00245147"/>
    <w:rsid w:val="0024529B"/>
    <w:rsid w:val="002452F2"/>
    <w:rsid w:val="00245462"/>
    <w:rsid w:val="002454E1"/>
    <w:rsid w:val="002455DF"/>
    <w:rsid w:val="0024578F"/>
    <w:rsid w:val="00245B41"/>
    <w:rsid w:val="00245C41"/>
    <w:rsid w:val="00245C94"/>
    <w:rsid w:val="00245D1C"/>
    <w:rsid w:val="00245D8B"/>
    <w:rsid w:val="00246098"/>
    <w:rsid w:val="0024641E"/>
    <w:rsid w:val="0024657F"/>
    <w:rsid w:val="00246624"/>
    <w:rsid w:val="00246646"/>
    <w:rsid w:val="00246649"/>
    <w:rsid w:val="00246EBA"/>
    <w:rsid w:val="0024704D"/>
    <w:rsid w:val="002470AA"/>
    <w:rsid w:val="002471CF"/>
    <w:rsid w:val="00247386"/>
    <w:rsid w:val="00247608"/>
    <w:rsid w:val="002476C3"/>
    <w:rsid w:val="00247826"/>
    <w:rsid w:val="00247ACE"/>
    <w:rsid w:val="00247B3D"/>
    <w:rsid w:val="00247DEA"/>
    <w:rsid w:val="00247E98"/>
    <w:rsid w:val="00247FDB"/>
    <w:rsid w:val="00250068"/>
    <w:rsid w:val="0025009F"/>
    <w:rsid w:val="00250521"/>
    <w:rsid w:val="00250562"/>
    <w:rsid w:val="002506BC"/>
    <w:rsid w:val="00250995"/>
    <w:rsid w:val="00250E44"/>
    <w:rsid w:val="00251028"/>
    <w:rsid w:val="00251048"/>
    <w:rsid w:val="0025108C"/>
    <w:rsid w:val="002511A6"/>
    <w:rsid w:val="00251217"/>
    <w:rsid w:val="0025124D"/>
    <w:rsid w:val="0025154D"/>
    <w:rsid w:val="00251A67"/>
    <w:rsid w:val="00251B62"/>
    <w:rsid w:val="00251D83"/>
    <w:rsid w:val="00251EA4"/>
    <w:rsid w:val="00252237"/>
    <w:rsid w:val="002525F6"/>
    <w:rsid w:val="002526ED"/>
    <w:rsid w:val="0025280C"/>
    <w:rsid w:val="002528EC"/>
    <w:rsid w:val="00252922"/>
    <w:rsid w:val="002529C9"/>
    <w:rsid w:val="00252B0A"/>
    <w:rsid w:val="00252ED3"/>
    <w:rsid w:val="00252FB5"/>
    <w:rsid w:val="00253212"/>
    <w:rsid w:val="0025325D"/>
    <w:rsid w:val="00253575"/>
    <w:rsid w:val="00253652"/>
    <w:rsid w:val="00253656"/>
    <w:rsid w:val="0025372A"/>
    <w:rsid w:val="00253796"/>
    <w:rsid w:val="0025386D"/>
    <w:rsid w:val="002538E8"/>
    <w:rsid w:val="00253AB9"/>
    <w:rsid w:val="00253BBD"/>
    <w:rsid w:val="00253C3E"/>
    <w:rsid w:val="00253CE3"/>
    <w:rsid w:val="00253D53"/>
    <w:rsid w:val="0025408D"/>
    <w:rsid w:val="0025425D"/>
    <w:rsid w:val="002543D5"/>
    <w:rsid w:val="002543F4"/>
    <w:rsid w:val="00254675"/>
    <w:rsid w:val="002546C4"/>
    <w:rsid w:val="00254711"/>
    <w:rsid w:val="00254910"/>
    <w:rsid w:val="00254A13"/>
    <w:rsid w:val="00254A29"/>
    <w:rsid w:val="00255330"/>
    <w:rsid w:val="00255398"/>
    <w:rsid w:val="002557A5"/>
    <w:rsid w:val="002558DC"/>
    <w:rsid w:val="00255BBB"/>
    <w:rsid w:val="00255CCA"/>
    <w:rsid w:val="00255DAC"/>
    <w:rsid w:val="00255DF7"/>
    <w:rsid w:val="00255EB2"/>
    <w:rsid w:val="00255FFD"/>
    <w:rsid w:val="0025630B"/>
    <w:rsid w:val="00256330"/>
    <w:rsid w:val="00256336"/>
    <w:rsid w:val="00256519"/>
    <w:rsid w:val="002565D6"/>
    <w:rsid w:val="002567CD"/>
    <w:rsid w:val="00256813"/>
    <w:rsid w:val="00256EB0"/>
    <w:rsid w:val="00257474"/>
    <w:rsid w:val="00257530"/>
    <w:rsid w:val="00257651"/>
    <w:rsid w:val="00257806"/>
    <w:rsid w:val="0025784B"/>
    <w:rsid w:val="00257926"/>
    <w:rsid w:val="00257B61"/>
    <w:rsid w:val="00257E71"/>
    <w:rsid w:val="00257F76"/>
    <w:rsid w:val="00260653"/>
    <w:rsid w:val="002607C9"/>
    <w:rsid w:val="00261051"/>
    <w:rsid w:val="00261075"/>
    <w:rsid w:val="0026107A"/>
    <w:rsid w:val="002610B1"/>
    <w:rsid w:val="00261216"/>
    <w:rsid w:val="00261526"/>
    <w:rsid w:val="002615BF"/>
    <w:rsid w:val="00261628"/>
    <w:rsid w:val="00261682"/>
    <w:rsid w:val="00261821"/>
    <w:rsid w:val="00261B6F"/>
    <w:rsid w:val="00261C43"/>
    <w:rsid w:val="00261DFC"/>
    <w:rsid w:val="00262153"/>
    <w:rsid w:val="0026250B"/>
    <w:rsid w:val="00262564"/>
    <w:rsid w:val="0026289B"/>
    <w:rsid w:val="002628C7"/>
    <w:rsid w:val="00262B38"/>
    <w:rsid w:val="00262BD7"/>
    <w:rsid w:val="00262CDE"/>
    <w:rsid w:val="00262E76"/>
    <w:rsid w:val="00262F68"/>
    <w:rsid w:val="00263168"/>
    <w:rsid w:val="002631F3"/>
    <w:rsid w:val="002632B4"/>
    <w:rsid w:val="00263662"/>
    <w:rsid w:val="002636A6"/>
    <w:rsid w:val="0026398E"/>
    <w:rsid w:val="00263E17"/>
    <w:rsid w:val="00263FA3"/>
    <w:rsid w:val="00264185"/>
    <w:rsid w:val="002642AB"/>
    <w:rsid w:val="00264316"/>
    <w:rsid w:val="00264408"/>
    <w:rsid w:val="002645A0"/>
    <w:rsid w:val="002646BE"/>
    <w:rsid w:val="00264A43"/>
    <w:rsid w:val="00264EA2"/>
    <w:rsid w:val="00264EDE"/>
    <w:rsid w:val="00265011"/>
    <w:rsid w:val="002654F3"/>
    <w:rsid w:val="00265527"/>
    <w:rsid w:val="002658EF"/>
    <w:rsid w:val="0026591E"/>
    <w:rsid w:val="00265961"/>
    <w:rsid w:val="00265A2C"/>
    <w:rsid w:val="00266160"/>
    <w:rsid w:val="002661AB"/>
    <w:rsid w:val="002662B2"/>
    <w:rsid w:val="002663A4"/>
    <w:rsid w:val="002664D1"/>
    <w:rsid w:val="002665AD"/>
    <w:rsid w:val="00266710"/>
    <w:rsid w:val="00266BF4"/>
    <w:rsid w:val="00266DC1"/>
    <w:rsid w:val="00266DE9"/>
    <w:rsid w:val="00266EDF"/>
    <w:rsid w:val="00266F10"/>
    <w:rsid w:val="00266FDC"/>
    <w:rsid w:val="00267089"/>
    <w:rsid w:val="0026752E"/>
    <w:rsid w:val="00267538"/>
    <w:rsid w:val="002679FA"/>
    <w:rsid w:val="002700CC"/>
    <w:rsid w:val="002700F8"/>
    <w:rsid w:val="00270178"/>
    <w:rsid w:val="002701B7"/>
    <w:rsid w:val="002701E2"/>
    <w:rsid w:val="0027020E"/>
    <w:rsid w:val="00270856"/>
    <w:rsid w:val="00270925"/>
    <w:rsid w:val="00270938"/>
    <w:rsid w:val="00270AC3"/>
    <w:rsid w:val="00270B5A"/>
    <w:rsid w:val="00270BC8"/>
    <w:rsid w:val="00271093"/>
    <w:rsid w:val="00271308"/>
    <w:rsid w:val="002713F7"/>
    <w:rsid w:val="002714E3"/>
    <w:rsid w:val="002715DA"/>
    <w:rsid w:val="00271D2A"/>
    <w:rsid w:val="0027232E"/>
    <w:rsid w:val="00272459"/>
    <w:rsid w:val="0027265C"/>
    <w:rsid w:val="00272BC1"/>
    <w:rsid w:val="00272D68"/>
    <w:rsid w:val="00272EEF"/>
    <w:rsid w:val="00272F97"/>
    <w:rsid w:val="0027308C"/>
    <w:rsid w:val="0027312B"/>
    <w:rsid w:val="00273452"/>
    <w:rsid w:val="002734C2"/>
    <w:rsid w:val="002737E6"/>
    <w:rsid w:val="002738D8"/>
    <w:rsid w:val="00273990"/>
    <w:rsid w:val="00273B4A"/>
    <w:rsid w:val="00273CBC"/>
    <w:rsid w:val="00273DFB"/>
    <w:rsid w:val="00273FAD"/>
    <w:rsid w:val="0027461B"/>
    <w:rsid w:val="00274886"/>
    <w:rsid w:val="002748D8"/>
    <w:rsid w:val="002749A2"/>
    <w:rsid w:val="00274AA7"/>
    <w:rsid w:val="00274C59"/>
    <w:rsid w:val="00274D18"/>
    <w:rsid w:val="00274F69"/>
    <w:rsid w:val="002750A8"/>
    <w:rsid w:val="002751EE"/>
    <w:rsid w:val="00275275"/>
    <w:rsid w:val="002755D4"/>
    <w:rsid w:val="0027564C"/>
    <w:rsid w:val="00275A70"/>
    <w:rsid w:val="00275C12"/>
    <w:rsid w:val="00275C16"/>
    <w:rsid w:val="00275CC5"/>
    <w:rsid w:val="00275DE3"/>
    <w:rsid w:val="00275DFD"/>
    <w:rsid w:val="00275EED"/>
    <w:rsid w:val="00275EF2"/>
    <w:rsid w:val="00276516"/>
    <w:rsid w:val="002765DD"/>
    <w:rsid w:val="0027674F"/>
    <w:rsid w:val="00276766"/>
    <w:rsid w:val="00276779"/>
    <w:rsid w:val="0027677D"/>
    <w:rsid w:val="0027678B"/>
    <w:rsid w:val="002767FE"/>
    <w:rsid w:val="002768D5"/>
    <w:rsid w:val="00276935"/>
    <w:rsid w:val="00276B9F"/>
    <w:rsid w:val="002770DC"/>
    <w:rsid w:val="00277431"/>
    <w:rsid w:val="002774EC"/>
    <w:rsid w:val="002777F3"/>
    <w:rsid w:val="002777F8"/>
    <w:rsid w:val="002778C5"/>
    <w:rsid w:val="002779DC"/>
    <w:rsid w:val="00277A8B"/>
    <w:rsid w:val="00277D76"/>
    <w:rsid w:val="00277DAE"/>
    <w:rsid w:val="002801EF"/>
    <w:rsid w:val="0028033C"/>
    <w:rsid w:val="00280400"/>
    <w:rsid w:val="002806C3"/>
    <w:rsid w:val="002807D3"/>
    <w:rsid w:val="0028082D"/>
    <w:rsid w:val="002809DA"/>
    <w:rsid w:val="00280B18"/>
    <w:rsid w:val="00280C35"/>
    <w:rsid w:val="00280E90"/>
    <w:rsid w:val="00281343"/>
    <w:rsid w:val="002813C0"/>
    <w:rsid w:val="0028140C"/>
    <w:rsid w:val="00281919"/>
    <w:rsid w:val="00281C55"/>
    <w:rsid w:val="00281CD5"/>
    <w:rsid w:val="00282140"/>
    <w:rsid w:val="002821DB"/>
    <w:rsid w:val="00282303"/>
    <w:rsid w:val="0028232F"/>
    <w:rsid w:val="00282345"/>
    <w:rsid w:val="0028246B"/>
    <w:rsid w:val="002825C9"/>
    <w:rsid w:val="0028260E"/>
    <w:rsid w:val="00282640"/>
    <w:rsid w:val="002826A5"/>
    <w:rsid w:val="002826C8"/>
    <w:rsid w:val="0028290B"/>
    <w:rsid w:val="00282A1A"/>
    <w:rsid w:val="0028333B"/>
    <w:rsid w:val="00283594"/>
    <w:rsid w:val="0028364C"/>
    <w:rsid w:val="0028378C"/>
    <w:rsid w:val="002837DC"/>
    <w:rsid w:val="00283A7B"/>
    <w:rsid w:val="00283B77"/>
    <w:rsid w:val="00283FE6"/>
    <w:rsid w:val="00284008"/>
    <w:rsid w:val="00284353"/>
    <w:rsid w:val="002848DC"/>
    <w:rsid w:val="002849C5"/>
    <w:rsid w:val="00284A58"/>
    <w:rsid w:val="00284CFE"/>
    <w:rsid w:val="00284D6D"/>
    <w:rsid w:val="00284DB1"/>
    <w:rsid w:val="00284DBB"/>
    <w:rsid w:val="00285301"/>
    <w:rsid w:val="002856B4"/>
    <w:rsid w:val="00285A90"/>
    <w:rsid w:val="00285C38"/>
    <w:rsid w:val="00285C91"/>
    <w:rsid w:val="00285F94"/>
    <w:rsid w:val="00286026"/>
    <w:rsid w:val="002860B6"/>
    <w:rsid w:val="0028628E"/>
    <w:rsid w:val="0028629A"/>
    <w:rsid w:val="0028655A"/>
    <w:rsid w:val="0028655C"/>
    <w:rsid w:val="0028660E"/>
    <w:rsid w:val="00286904"/>
    <w:rsid w:val="00286A6A"/>
    <w:rsid w:val="00286A91"/>
    <w:rsid w:val="00286BED"/>
    <w:rsid w:val="00286C06"/>
    <w:rsid w:val="00286D73"/>
    <w:rsid w:val="00286E85"/>
    <w:rsid w:val="002871A2"/>
    <w:rsid w:val="002875A5"/>
    <w:rsid w:val="0028765F"/>
    <w:rsid w:val="002876B5"/>
    <w:rsid w:val="0028797E"/>
    <w:rsid w:val="00287D06"/>
    <w:rsid w:val="00287E81"/>
    <w:rsid w:val="00287F96"/>
    <w:rsid w:val="00287FF7"/>
    <w:rsid w:val="002903D2"/>
    <w:rsid w:val="002904A1"/>
    <w:rsid w:val="00290547"/>
    <w:rsid w:val="0029058C"/>
    <w:rsid w:val="0029070A"/>
    <w:rsid w:val="0029079A"/>
    <w:rsid w:val="00290924"/>
    <w:rsid w:val="00290993"/>
    <w:rsid w:val="002909E2"/>
    <w:rsid w:val="00290B5B"/>
    <w:rsid w:val="00290C0E"/>
    <w:rsid w:val="00290EE4"/>
    <w:rsid w:val="0029135B"/>
    <w:rsid w:val="002914C1"/>
    <w:rsid w:val="002915E0"/>
    <w:rsid w:val="00291842"/>
    <w:rsid w:val="00291932"/>
    <w:rsid w:val="00291A8E"/>
    <w:rsid w:val="00291B65"/>
    <w:rsid w:val="00291D3C"/>
    <w:rsid w:val="00291F41"/>
    <w:rsid w:val="002920A0"/>
    <w:rsid w:val="00292250"/>
    <w:rsid w:val="00292349"/>
    <w:rsid w:val="002923A2"/>
    <w:rsid w:val="00292AA8"/>
    <w:rsid w:val="00292B89"/>
    <w:rsid w:val="00292C6D"/>
    <w:rsid w:val="00292E86"/>
    <w:rsid w:val="00292EBE"/>
    <w:rsid w:val="00292EDF"/>
    <w:rsid w:val="00293173"/>
    <w:rsid w:val="00293191"/>
    <w:rsid w:val="002934BF"/>
    <w:rsid w:val="0029352B"/>
    <w:rsid w:val="00293684"/>
    <w:rsid w:val="002936EE"/>
    <w:rsid w:val="00293723"/>
    <w:rsid w:val="00293798"/>
    <w:rsid w:val="002937DE"/>
    <w:rsid w:val="00293A99"/>
    <w:rsid w:val="00293BA1"/>
    <w:rsid w:val="00293E3C"/>
    <w:rsid w:val="00293E96"/>
    <w:rsid w:val="0029402C"/>
    <w:rsid w:val="0029408A"/>
    <w:rsid w:val="002940C2"/>
    <w:rsid w:val="00294149"/>
    <w:rsid w:val="002941EE"/>
    <w:rsid w:val="0029426A"/>
    <w:rsid w:val="00294455"/>
    <w:rsid w:val="00294516"/>
    <w:rsid w:val="0029458F"/>
    <w:rsid w:val="00294777"/>
    <w:rsid w:val="00294790"/>
    <w:rsid w:val="0029491F"/>
    <w:rsid w:val="002949BF"/>
    <w:rsid w:val="00294CC0"/>
    <w:rsid w:val="00295115"/>
    <w:rsid w:val="0029523A"/>
    <w:rsid w:val="002952C1"/>
    <w:rsid w:val="002958A3"/>
    <w:rsid w:val="002958D2"/>
    <w:rsid w:val="002958ED"/>
    <w:rsid w:val="00295A25"/>
    <w:rsid w:val="00295ABA"/>
    <w:rsid w:val="00295EB2"/>
    <w:rsid w:val="002960AC"/>
    <w:rsid w:val="0029615B"/>
    <w:rsid w:val="0029628B"/>
    <w:rsid w:val="002968B7"/>
    <w:rsid w:val="0029692A"/>
    <w:rsid w:val="00296B84"/>
    <w:rsid w:val="00296BE2"/>
    <w:rsid w:val="00296F5F"/>
    <w:rsid w:val="00296FD2"/>
    <w:rsid w:val="0029715C"/>
    <w:rsid w:val="002971C6"/>
    <w:rsid w:val="00297483"/>
    <w:rsid w:val="00297514"/>
    <w:rsid w:val="00297524"/>
    <w:rsid w:val="002979B0"/>
    <w:rsid w:val="00297B67"/>
    <w:rsid w:val="00297D54"/>
    <w:rsid w:val="00297E47"/>
    <w:rsid w:val="002A0519"/>
    <w:rsid w:val="002A0662"/>
    <w:rsid w:val="002A0A80"/>
    <w:rsid w:val="002A0CC3"/>
    <w:rsid w:val="002A0CE1"/>
    <w:rsid w:val="002A0F42"/>
    <w:rsid w:val="002A1301"/>
    <w:rsid w:val="002A1397"/>
    <w:rsid w:val="002A15E2"/>
    <w:rsid w:val="002A1DF6"/>
    <w:rsid w:val="002A1E26"/>
    <w:rsid w:val="002A1E60"/>
    <w:rsid w:val="002A2381"/>
    <w:rsid w:val="002A2508"/>
    <w:rsid w:val="002A2696"/>
    <w:rsid w:val="002A26D9"/>
    <w:rsid w:val="002A2776"/>
    <w:rsid w:val="002A28BE"/>
    <w:rsid w:val="002A2C1C"/>
    <w:rsid w:val="002A2C35"/>
    <w:rsid w:val="002A2C44"/>
    <w:rsid w:val="002A2DC6"/>
    <w:rsid w:val="002A30DF"/>
    <w:rsid w:val="002A321B"/>
    <w:rsid w:val="002A32C5"/>
    <w:rsid w:val="002A366E"/>
    <w:rsid w:val="002A3ACE"/>
    <w:rsid w:val="002A3CD3"/>
    <w:rsid w:val="002A3D97"/>
    <w:rsid w:val="002A3DCA"/>
    <w:rsid w:val="002A3DF0"/>
    <w:rsid w:val="002A4179"/>
    <w:rsid w:val="002A461F"/>
    <w:rsid w:val="002A4A60"/>
    <w:rsid w:val="002A4AE7"/>
    <w:rsid w:val="002A4AEE"/>
    <w:rsid w:val="002A50EF"/>
    <w:rsid w:val="002A52D8"/>
    <w:rsid w:val="002A553C"/>
    <w:rsid w:val="002A5640"/>
    <w:rsid w:val="002A572A"/>
    <w:rsid w:val="002A57FB"/>
    <w:rsid w:val="002A588E"/>
    <w:rsid w:val="002A5AB8"/>
    <w:rsid w:val="002A5F72"/>
    <w:rsid w:val="002A627B"/>
    <w:rsid w:val="002A6384"/>
    <w:rsid w:val="002A6473"/>
    <w:rsid w:val="002A6592"/>
    <w:rsid w:val="002A6B29"/>
    <w:rsid w:val="002A6EA7"/>
    <w:rsid w:val="002A6EC6"/>
    <w:rsid w:val="002A6FE1"/>
    <w:rsid w:val="002A74FB"/>
    <w:rsid w:val="002A7566"/>
    <w:rsid w:val="002A7A93"/>
    <w:rsid w:val="002A7ACC"/>
    <w:rsid w:val="002A7B41"/>
    <w:rsid w:val="002A7B70"/>
    <w:rsid w:val="002A7CB8"/>
    <w:rsid w:val="002B00EC"/>
    <w:rsid w:val="002B0404"/>
    <w:rsid w:val="002B05A2"/>
    <w:rsid w:val="002B0948"/>
    <w:rsid w:val="002B0A48"/>
    <w:rsid w:val="002B0B43"/>
    <w:rsid w:val="002B0E47"/>
    <w:rsid w:val="002B0E4F"/>
    <w:rsid w:val="002B0FE7"/>
    <w:rsid w:val="002B10D2"/>
    <w:rsid w:val="002B11D5"/>
    <w:rsid w:val="002B122F"/>
    <w:rsid w:val="002B134A"/>
    <w:rsid w:val="002B13B4"/>
    <w:rsid w:val="002B1429"/>
    <w:rsid w:val="002B160A"/>
    <w:rsid w:val="002B16E1"/>
    <w:rsid w:val="002B1763"/>
    <w:rsid w:val="002B18B5"/>
    <w:rsid w:val="002B1AE9"/>
    <w:rsid w:val="002B1B61"/>
    <w:rsid w:val="002B1BD9"/>
    <w:rsid w:val="002B1CAA"/>
    <w:rsid w:val="002B1F68"/>
    <w:rsid w:val="002B2000"/>
    <w:rsid w:val="002B2013"/>
    <w:rsid w:val="002B20E2"/>
    <w:rsid w:val="002B2164"/>
    <w:rsid w:val="002B21DF"/>
    <w:rsid w:val="002B2575"/>
    <w:rsid w:val="002B2700"/>
    <w:rsid w:val="002B2802"/>
    <w:rsid w:val="002B2854"/>
    <w:rsid w:val="002B2A29"/>
    <w:rsid w:val="002B2B5E"/>
    <w:rsid w:val="002B2C7F"/>
    <w:rsid w:val="002B2CD5"/>
    <w:rsid w:val="002B2E4A"/>
    <w:rsid w:val="002B2F72"/>
    <w:rsid w:val="002B2F9D"/>
    <w:rsid w:val="002B2FB6"/>
    <w:rsid w:val="002B332C"/>
    <w:rsid w:val="002B34A0"/>
    <w:rsid w:val="002B3A8D"/>
    <w:rsid w:val="002B3BB2"/>
    <w:rsid w:val="002B3DD6"/>
    <w:rsid w:val="002B3E1D"/>
    <w:rsid w:val="002B3F66"/>
    <w:rsid w:val="002B4005"/>
    <w:rsid w:val="002B4109"/>
    <w:rsid w:val="002B42A2"/>
    <w:rsid w:val="002B43AA"/>
    <w:rsid w:val="002B46DA"/>
    <w:rsid w:val="002B48C9"/>
    <w:rsid w:val="002B494D"/>
    <w:rsid w:val="002B4C17"/>
    <w:rsid w:val="002B4F01"/>
    <w:rsid w:val="002B4FD1"/>
    <w:rsid w:val="002B51A4"/>
    <w:rsid w:val="002B524F"/>
    <w:rsid w:val="002B52B6"/>
    <w:rsid w:val="002B52BB"/>
    <w:rsid w:val="002B5326"/>
    <w:rsid w:val="002B55A3"/>
    <w:rsid w:val="002B55C2"/>
    <w:rsid w:val="002B5606"/>
    <w:rsid w:val="002B57C8"/>
    <w:rsid w:val="002B592E"/>
    <w:rsid w:val="002B5B01"/>
    <w:rsid w:val="002B5DC7"/>
    <w:rsid w:val="002B5E53"/>
    <w:rsid w:val="002B5F82"/>
    <w:rsid w:val="002B5FC2"/>
    <w:rsid w:val="002B5FF5"/>
    <w:rsid w:val="002B6286"/>
    <w:rsid w:val="002B62DD"/>
    <w:rsid w:val="002B6392"/>
    <w:rsid w:val="002B63DA"/>
    <w:rsid w:val="002B66AB"/>
    <w:rsid w:val="002B674D"/>
    <w:rsid w:val="002B6909"/>
    <w:rsid w:val="002B69CF"/>
    <w:rsid w:val="002B6A58"/>
    <w:rsid w:val="002B6D3D"/>
    <w:rsid w:val="002B6DB4"/>
    <w:rsid w:val="002B6E1F"/>
    <w:rsid w:val="002B6EC2"/>
    <w:rsid w:val="002B6EE5"/>
    <w:rsid w:val="002B71DF"/>
    <w:rsid w:val="002B791F"/>
    <w:rsid w:val="002B79FA"/>
    <w:rsid w:val="002B7BAF"/>
    <w:rsid w:val="002B7D6F"/>
    <w:rsid w:val="002B7ECE"/>
    <w:rsid w:val="002B7FB3"/>
    <w:rsid w:val="002C02BB"/>
    <w:rsid w:val="002C040B"/>
    <w:rsid w:val="002C0418"/>
    <w:rsid w:val="002C041F"/>
    <w:rsid w:val="002C04DF"/>
    <w:rsid w:val="002C059E"/>
    <w:rsid w:val="002C0864"/>
    <w:rsid w:val="002C09AB"/>
    <w:rsid w:val="002C0A54"/>
    <w:rsid w:val="002C0AF3"/>
    <w:rsid w:val="002C0B42"/>
    <w:rsid w:val="002C0C52"/>
    <w:rsid w:val="002C0DE1"/>
    <w:rsid w:val="002C0EA9"/>
    <w:rsid w:val="002C0FD9"/>
    <w:rsid w:val="002C11FA"/>
    <w:rsid w:val="002C1261"/>
    <w:rsid w:val="002C1499"/>
    <w:rsid w:val="002C1706"/>
    <w:rsid w:val="002C18D8"/>
    <w:rsid w:val="002C1A08"/>
    <w:rsid w:val="002C1F79"/>
    <w:rsid w:val="002C1FFC"/>
    <w:rsid w:val="002C2467"/>
    <w:rsid w:val="002C288A"/>
    <w:rsid w:val="002C2A4A"/>
    <w:rsid w:val="002C2AD8"/>
    <w:rsid w:val="002C2B0D"/>
    <w:rsid w:val="002C2BD1"/>
    <w:rsid w:val="002C2C51"/>
    <w:rsid w:val="002C2C61"/>
    <w:rsid w:val="002C2EEE"/>
    <w:rsid w:val="002C2F2D"/>
    <w:rsid w:val="002C3404"/>
    <w:rsid w:val="002C34FA"/>
    <w:rsid w:val="002C358F"/>
    <w:rsid w:val="002C3B3E"/>
    <w:rsid w:val="002C3C34"/>
    <w:rsid w:val="002C3C92"/>
    <w:rsid w:val="002C42D4"/>
    <w:rsid w:val="002C43C8"/>
    <w:rsid w:val="002C45A2"/>
    <w:rsid w:val="002C45B2"/>
    <w:rsid w:val="002C479E"/>
    <w:rsid w:val="002C485E"/>
    <w:rsid w:val="002C48B1"/>
    <w:rsid w:val="002C4CDE"/>
    <w:rsid w:val="002C4F8E"/>
    <w:rsid w:val="002C5463"/>
    <w:rsid w:val="002C55ED"/>
    <w:rsid w:val="002C5666"/>
    <w:rsid w:val="002C5780"/>
    <w:rsid w:val="002C5972"/>
    <w:rsid w:val="002C5AAC"/>
    <w:rsid w:val="002C5F16"/>
    <w:rsid w:val="002C60D7"/>
    <w:rsid w:val="002C62DE"/>
    <w:rsid w:val="002C6398"/>
    <w:rsid w:val="002C63CE"/>
    <w:rsid w:val="002C6674"/>
    <w:rsid w:val="002C667F"/>
    <w:rsid w:val="002C66BF"/>
    <w:rsid w:val="002C67CE"/>
    <w:rsid w:val="002C6B85"/>
    <w:rsid w:val="002C6BEF"/>
    <w:rsid w:val="002C6D1B"/>
    <w:rsid w:val="002C6D80"/>
    <w:rsid w:val="002C6E05"/>
    <w:rsid w:val="002C6E2B"/>
    <w:rsid w:val="002C6F29"/>
    <w:rsid w:val="002C7047"/>
    <w:rsid w:val="002C7595"/>
    <w:rsid w:val="002C76D1"/>
    <w:rsid w:val="002C7872"/>
    <w:rsid w:val="002C78C2"/>
    <w:rsid w:val="002C7A0B"/>
    <w:rsid w:val="002C7E44"/>
    <w:rsid w:val="002D017C"/>
    <w:rsid w:val="002D0772"/>
    <w:rsid w:val="002D0801"/>
    <w:rsid w:val="002D086D"/>
    <w:rsid w:val="002D087F"/>
    <w:rsid w:val="002D0986"/>
    <w:rsid w:val="002D0E85"/>
    <w:rsid w:val="002D0E87"/>
    <w:rsid w:val="002D0EBF"/>
    <w:rsid w:val="002D0EE0"/>
    <w:rsid w:val="002D10AA"/>
    <w:rsid w:val="002D1107"/>
    <w:rsid w:val="002D13FC"/>
    <w:rsid w:val="002D14CF"/>
    <w:rsid w:val="002D14DF"/>
    <w:rsid w:val="002D1500"/>
    <w:rsid w:val="002D1AE7"/>
    <w:rsid w:val="002D1BAD"/>
    <w:rsid w:val="002D1ECF"/>
    <w:rsid w:val="002D1F0A"/>
    <w:rsid w:val="002D1F17"/>
    <w:rsid w:val="002D1F88"/>
    <w:rsid w:val="002D223A"/>
    <w:rsid w:val="002D23BC"/>
    <w:rsid w:val="002D26F2"/>
    <w:rsid w:val="002D2756"/>
    <w:rsid w:val="002D28B3"/>
    <w:rsid w:val="002D2A0E"/>
    <w:rsid w:val="002D2B0D"/>
    <w:rsid w:val="002D2D16"/>
    <w:rsid w:val="002D2D9E"/>
    <w:rsid w:val="002D2F15"/>
    <w:rsid w:val="002D306C"/>
    <w:rsid w:val="002D328F"/>
    <w:rsid w:val="002D3466"/>
    <w:rsid w:val="002D3C9C"/>
    <w:rsid w:val="002D3DA0"/>
    <w:rsid w:val="002D3E70"/>
    <w:rsid w:val="002D3F2B"/>
    <w:rsid w:val="002D3FF1"/>
    <w:rsid w:val="002D43EE"/>
    <w:rsid w:val="002D4605"/>
    <w:rsid w:val="002D4801"/>
    <w:rsid w:val="002D4852"/>
    <w:rsid w:val="002D4C0E"/>
    <w:rsid w:val="002D4E67"/>
    <w:rsid w:val="002D4EBD"/>
    <w:rsid w:val="002D4F33"/>
    <w:rsid w:val="002D4FFA"/>
    <w:rsid w:val="002D50FB"/>
    <w:rsid w:val="002D5174"/>
    <w:rsid w:val="002D53CF"/>
    <w:rsid w:val="002D5CC7"/>
    <w:rsid w:val="002D5D19"/>
    <w:rsid w:val="002D604E"/>
    <w:rsid w:val="002D62B9"/>
    <w:rsid w:val="002D6330"/>
    <w:rsid w:val="002D63F4"/>
    <w:rsid w:val="002D67A0"/>
    <w:rsid w:val="002D6A1B"/>
    <w:rsid w:val="002D6A29"/>
    <w:rsid w:val="002D6B96"/>
    <w:rsid w:val="002D6D6A"/>
    <w:rsid w:val="002D6E36"/>
    <w:rsid w:val="002D6F1B"/>
    <w:rsid w:val="002D703D"/>
    <w:rsid w:val="002D7178"/>
    <w:rsid w:val="002D7242"/>
    <w:rsid w:val="002D728D"/>
    <w:rsid w:val="002D75BB"/>
    <w:rsid w:val="002D7977"/>
    <w:rsid w:val="002D7995"/>
    <w:rsid w:val="002D79AF"/>
    <w:rsid w:val="002D7A44"/>
    <w:rsid w:val="002E0099"/>
    <w:rsid w:val="002E014D"/>
    <w:rsid w:val="002E01F9"/>
    <w:rsid w:val="002E0324"/>
    <w:rsid w:val="002E0497"/>
    <w:rsid w:val="002E06AD"/>
    <w:rsid w:val="002E06E2"/>
    <w:rsid w:val="002E073D"/>
    <w:rsid w:val="002E08E1"/>
    <w:rsid w:val="002E0EBE"/>
    <w:rsid w:val="002E1146"/>
    <w:rsid w:val="002E11D8"/>
    <w:rsid w:val="002E127D"/>
    <w:rsid w:val="002E16C1"/>
    <w:rsid w:val="002E1A1C"/>
    <w:rsid w:val="002E1D41"/>
    <w:rsid w:val="002E1D99"/>
    <w:rsid w:val="002E1F6D"/>
    <w:rsid w:val="002E2068"/>
    <w:rsid w:val="002E206E"/>
    <w:rsid w:val="002E23B2"/>
    <w:rsid w:val="002E25C1"/>
    <w:rsid w:val="002E2973"/>
    <w:rsid w:val="002E2C9B"/>
    <w:rsid w:val="002E2FFB"/>
    <w:rsid w:val="002E3293"/>
    <w:rsid w:val="002E3310"/>
    <w:rsid w:val="002E35C6"/>
    <w:rsid w:val="002E36A4"/>
    <w:rsid w:val="002E3917"/>
    <w:rsid w:val="002E3961"/>
    <w:rsid w:val="002E3A99"/>
    <w:rsid w:val="002E3AC8"/>
    <w:rsid w:val="002E3E55"/>
    <w:rsid w:val="002E3F1B"/>
    <w:rsid w:val="002E3FCD"/>
    <w:rsid w:val="002E40F7"/>
    <w:rsid w:val="002E458A"/>
    <w:rsid w:val="002E4636"/>
    <w:rsid w:val="002E4720"/>
    <w:rsid w:val="002E48DB"/>
    <w:rsid w:val="002E4DC5"/>
    <w:rsid w:val="002E52FD"/>
    <w:rsid w:val="002E549A"/>
    <w:rsid w:val="002E5771"/>
    <w:rsid w:val="002E5A0B"/>
    <w:rsid w:val="002E5AA6"/>
    <w:rsid w:val="002E5B7B"/>
    <w:rsid w:val="002E5B80"/>
    <w:rsid w:val="002E5C27"/>
    <w:rsid w:val="002E5DDA"/>
    <w:rsid w:val="002E5E0B"/>
    <w:rsid w:val="002E608D"/>
    <w:rsid w:val="002E6090"/>
    <w:rsid w:val="002E6301"/>
    <w:rsid w:val="002E63C1"/>
    <w:rsid w:val="002E6788"/>
    <w:rsid w:val="002E68FE"/>
    <w:rsid w:val="002E690F"/>
    <w:rsid w:val="002E6B28"/>
    <w:rsid w:val="002E6B2B"/>
    <w:rsid w:val="002E6B88"/>
    <w:rsid w:val="002E6E1E"/>
    <w:rsid w:val="002E704F"/>
    <w:rsid w:val="002E7130"/>
    <w:rsid w:val="002E7406"/>
    <w:rsid w:val="002E7678"/>
    <w:rsid w:val="002E76E5"/>
    <w:rsid w:val="002E7710"/>
    <w:rsid w:val="002E781F"/>
    <w:rsid w:val="002E79FA"/>
    <w:rsid w:val="002E7A3F"/>
    <w:rsid w:val="002E7A96"/>
    <w:rsid w:val="002E7AE2"/>
    <w:rsid w:val="002E7B1F"/>
    <w:rsid w:val="002E7DE6"/>
    <w:rsid w:val="002E7DF7"/>
    <w:rsid w:val="002E7E58"/>
    <w:rsid w:val="002F003D"/>
    <w:rsid w:val="002F0290"/>
    <w:rsid w:val="002F0313"/>
    <w:rsid w:val="002F0363"/>
    <w:rsid w:val="002F0543"/>
    <w:rsid w:val="002F06B9"/>
    <w:rsid w:val="002F0ABA"/>
    <w:rsid w:val="002F0C12"/>
    <w:rsid w:val="002F0EDE"/>
    <w:rsid w:val="002F10A7"/>
    <w:rsid w:val="002F127A"/>
    <w:rsid w:val="002F12EE"/>
    <w:rsid w:val="002F12FE"/>
    <w:rsid w:val="002F1419"/>
    <w:rsid w:val="002F15C4"/>
    <w:rsid w:val="002F172C"/>
    <w:rsid w:val="002F1865"/>
    <w:rsid w:val="002F1AAA"/>
    <w:rsid w:val="002F1AED"/>
    <w:rsid w:val="002F1B19"/>
    <w:rsid w:val="002F1C51"/>
    <w:rsid w:val="002F20B1"/>
    <w:rsid w:val="002F247A"/>
    <w:rsid w:val="002F24CB"/>
    <w:rsid w:val="002F2718"/>
    <w:rsid w:val="002F282C"/>
    <w:rsid w:val="002F28A0"/>
    <w:rsid w:val="002F2A55"/>
    <w:rsid w:val="002F2B23"/>
    <w:rsid w:val="002F2C06"/>
    <w:rsid w:val="002F2CCC"/>
    <w:rsid w:val="002F2DAC"/>
    <w:rsid w:val="002F2EE6"/>
    <w:rsid w:val="002F336D"/>
    <w:rsid w:val="002F348D"/>
    <w:rsid w:val="002F34BC"/>
    <w:rsid w:val="002F35D7"/>
    <w:rsid w:val="002F395C"/>
    <w:rsid w:val="002F399B"/>
    <w:rsid w:val="002F3D31"/>
    <w:rsid w:val="002F3E6F"/>
    <w:rsid w:val="002F40A2"/>
    <w:rsid w:val="002F40C9"/>
    <w:rsid w:val="002F4144"/>
    <w:rsid w:val="002F45E0"/>
    <w:rsid w:val="002F4668"/>
    <w:rsid w:val="002F4A29"/>
    <w:rsid w:val="002F4CC4"/>
    <w:rsid w:val="002F4EBF"/>
    <w:rsid w:val="002F5082"/>
    <w:rsid w:val="002F53A0"/>
    <w:rsid w:val="002F53AD"/>
    <w:rsid w:val="002F53BB"/>
    <w:rsid w:val="002F5449"/>
    <w:rsid w:val="002F56EF"/>
    <w:rsid w:val="002F57E4"/>
    <w:rsid w:val="002F590F"/>
    <w:rsid w:val="002F5ABD"/>
    <w:rsid w:val="002F5B2D"/>
    <w:rsid w:val="002F5C15"/>
    <w:rsid w:val="002F5EBC"/>
    <w:rsid w:val="002F6093"/>
    <w:rsid w:val="002F6200"/>
    <w:rsid w:val="002F65D4"/>
    <w:rsid w:val="002F6B4F"/>
    <w:rsid w:val="002F6CA2"/>
    <w:rsid w:val="002F7150"/>
    <w:rsid w:val="002F72D4"/>
    <w:rsid w:val="002F7426"/>
    <w:rsid w:val="002F7540"/>
    <w:rsid w:val="002F77D8"/>
    <w:rsid w:val="002F7856"/>
    <w:rsid w:val="002F7891"/>
    <w:rsid w:val="002F799A"/>
    <w:rsid w:val="002F7D4C"/>
    <w:rsid w:val="00300070"/>
    <w:rsid w:val="0030011E"/>
    <w:rsid w:val="003003CB"/>
    <w:rsid w:val="0030043F"/>
    <w:rsid w:val="003004AC"/>
    <w:rsid w:val="003004EB"/>
    <w:rsid w:val="003008F0"/>
    <w:rsid w:val="003009F7"/>
    <w:rsid w:val="00300B93"/>
    <w:rsid w:val="00300EC3"/>
    <w:rsid w:val="00300F97"/>
    <w:rsid w:val="00300FBC"/>
    <w:rsid w:val="00300FD3"/>
    <w:rsid w:val="003012C6"/>
    <w:rsid w:val="00301330"/>
    <w:rsid w:val="00301489"/>
    <w:rsid w:val="00301558"/>
    <w:rsid w:val="00301594"/>
    <w:rsid w:val="003015B0"/>
    <w:rsid w:val="003015E4"/>
    <w:rsid w:val="00301823"/>
    <w:rsid w:val="00301B4F"/>
    <w:rsid w:val="00301D10"/>
    <w:rsid w:val="00301E0B"/>
    <w:rsid w:val="00302289"/>
    <w:rsid w:val="00302396"/>
    <w:rsid w:val="003025E0"/>
    <w:rsid w:val="00302828"/>
    <w:rsid w:val="0030290F"/>
    <w:rsid w:val="003029A2"/>
    <w:rsid w:val="00302A3C"/>
    <w:rsid w:val="00302AD0"/>
    <w:rsid w:val="00302AFC"/>
    <w:rsid w:val="00302B89"/>
    <w:rsid w:val="00302C31"/>
    <w:rsid w:val="0030303D"/>
    <w:rsid w:val="00303197"/>
    <w:rsid w:val="003036D7"/>
    <w:rsid w:val="003036F2"/>
    <w:rsid w:val="00303726"/>
    <w:rsid w:val="00303745"/>
    <w:rsid w:val="00303925"/>
    <w:rsid w:val="003039B3"/>
    <w:rsid w:val="00303BAA"/>
    <w:rsid w:val="00303EDE"/>
    <w:rsid w:val="00303EDF"/>
    <w:rsid w:val="00303F68"/>
    <w:rsid w:val="00303F97"/>
    <w:rsid w:val="003040F7"/>
    <w:rsid w:val="003043B2"/>
    <w:rsid w:val="00304468"/>
    <w:rsid w:val="00304720"/>
    <w:rsid w:val="0030484B"/>
    <w:rsid w:val="00304864"/>
    <w:rsid w:val="003049B3"/>
    <w:rsid w:val="00304C51"/>
    <w:rsid w:val="00304F69"/>
    <w:rsid w:val="0030530F"/>
    <w:rsid w:val="0030536B"/>
    <w:rsid w:val="00305511"/>
    <w:rsid w:val="003059A8"/>
    <w:rsid w:val="003059E8"/>
    <w:rsid w:val="00305A78"/>
    <w:rsid w:val="00305BFC"/>
    <w:rsid w:val="00305BFE"/>
    <w:rsid w:val="00305CE1"/>
    <w:rsid w:val="00305F27"/>
    <w:rsid w:val="0030605E"/>
    <w:rsid w:val="0030680D"/>
    <w:rsid w:val="00306934"/>
    <w:rsid w:val="00306B6A"/>
    <w:rsid w:val="00306C68"/>
    <w:rsid w:val="00306D3A"/>
    <w:rsid w:val="00306DE5"/>
    <w:rsid w:val="003070A2"/>
    <w:rsid w:val="003072D7"/>
    <w:rsid w:val="003072FE"/>
    <w:rsid w:val="00307646"/>
    <w:rsid w:val="0030769F"/>
    <w:rsid w:val="003077A1"/>
    <w:rsid w:val="00307C8E"/>
    <w:rsid w:val="0031014A"/>
    <w:rsid w:val="00310517"/>
    <w:rsid w:val="00310704"/>
    <w:rsid w:val="003109CD"/>
    <w:rsid w:val="00310CC5"/>
    <w:rsid w:val="00310D18"/>
    <w:rsid w:val="00310D66"/>
    <w:rsid w:val="00310E9B"/>
    <w:rsid w:val="00310EDA"/>
    <w:rsid w:val="00310FA2"/>
    <w:rsid w:val="00311015"/>
    <w:rsid w:val="00311060"/>
    <w:rsid w:val="00311269"/>
    <w:rsid w:val="00311483"/>
    <w:rsid w:val="00311510"/>
    <w:rsid w:val="00311885"/>
    <w:rsid w:val="00311B33"/>
    <w:rsid w:val="00311B94"/>
    <w:rsid w:val="00311CAF"/>
    <w:rsid w:val="00311CE3"/>
    <w:rsid w:val="00311CFA"/>
    <w:rsid w:val="003120D4"/>
    <w:rsid w:val="00312229"/>
    <w:rsid w:val="00312239"/>
    <w:rsid w:val="003122D4"/>
    <w:rsid w:val="003128CF"/>
    <w:rsid w:val="003128D2"/>
    <w:rsid w:val="003128F2"/>
    <w:rsid w:val="00312A06"/>
    <w:rsid w:val="00312ACA"/>
    <w:rsid w:val="00312B7D"/>
    <w:rsid w:val="00312EE0"/>
    <w:rsid w:val="00312F8B"/>
    <w:rsid w:val="0031311B"/>
    <w:rsid w:val="00313223"/>
    <w:rsid w:val="00313713"/>
    <w:rsid w:val="00313C7B"/>
    <w:rsid w:val="00313E46"/>
    <w:rsid w:val="00313F81"/>
    <w:rsid w:val="00314132"/>
    <w:rsid w:val="00314141"/>
    <w:rsid w:val="00314159"/>
    <w:rsid w:val="0031439F"/>
    <w:rsid w:val="00314413"/>
    <w:rsid w:val="00314414"/>
    <w:rsid w:val="003145BC"/>
    <w:rsid w:val="00314670"/>
    <w:rsid w:val="0031480B"/>
    <w:rsid w:val="00314B50"/>
    <w:rsid w:val="00314B96"/>
    <w:rsid w:val="00314C90"/>
    <w:rsid w:val="00314CB2"/>
    <w:rsid w:val="00314DA6"/>
    <w:rsid w:val="00314DC9"/>
    <w:rsid w:val="00315180"/>
    <w:rsid w:val="00315273"/>
    <w:rsid w:val="0031547D"/>
    <w:rsid w:val="00315503"/>
    <w:rsid w:val="00315566"/>
    <w:rsid w:val="0031565A"/>
    <w:rsid w:val="00315682"/>
    <w:rsid w:val="00315718"/>
    <w:rsid w:val="00315894"/>
    <w:rsid w:val="00315AE9"/>
    <w:rsid w:val="00315CF0"/>
    <w:rsid w:val="00315D08"/>
    <w:rsid w:val="00315D5C"/>
    <w:rsid w:val="00316154"/>
    <w:rsid w:val="0031698B"/>
    <w:rsid w:val="00316A34"/>
    <w:rsid w:val="00316AAA"/>
    <w:rsid w:val="00316AD2"/>
    <w:rsid w:val="00316FF6"/>
    <w:rsid w:val="00317620"/>
    <w:rsid w:val="00317948"/>
    <w:rsid w:val="00317C76"/>
    <w:rsid w:val="00317E71"/>
    <w:rsid w:val="00320036"/>
    <w:rsid w:val="003201DA"/>
    <w:rsid w:val="003202C1"/>
    <w:rsid w:val="00320629"/>
    <w:rsid w:val="003206B9"/>
    <w:rsid w:val="003206CE"/>
    <w:rsid w:val="00320947"/>
    <w:rsid w:val="00320A3F"/>
    <w:rsid w:val="00320D62"/>
    <w:rsid w:val="00320DE9"/>
    <w:rsid w:val="003210B4"/>
    <w:rsid w:val="003210F9"/>
    <w:rsid w:val="00321141"/>
    <w:rsid w:val="003212B1"/>
    <w:rsid w:val="00321584"/>
    <w:rsid w:val="003216D3"/>
    <w:rsid w:val="003218E9"/>
    <w:rsid w:val="00321A71"/>
    <w:rsid w:val="00321D10"/>
    <w:rsid w:val="00321F15"/>
    <w:rsid w:val="00321FBE"/>
    <w:rsid w:val="00322385"/>
    <w:rsid w:val="003223DA"/>
    <w:rsid w:val="00322559"/>
    <w:rsid w:val="0032288B"/>
    <w:rsid w:val="00322930"/>
    <w:rsid w:val="00322A42"/>
    <w:rsid w:val="00322B86"/>
    <w:rsid w:val="00322D7D"/>
    <w:rsid w:val="00322EB0"/>
    <w:rsid w:val="00322F2A"/>
    <w:rsid w:val="00322F4E"/>
    <w:rsid w:val="00323018"/>
    <w:rsid w:val="003239A1"/>
    <w:rsid w:val="003239CE"/>
    <w:rsid w:val="00323B53"/>
    <w:rsid w:val="00323D42"/>
    <w:rsid w:val="00323E35"/>
    <w:rsid w:val="00324433"/>
    <w:rsid w:val="0032470F"/>
    <w:rsid w:val="00324727"/>
    <w:rsid w:val="003249E6"/>
    <w:rsid w:val="00324A59"/>
    <w:rsid w:val="00324AD2"/>
    <w:rsid w:val="00324B4D"/>
    <w:rsid w:val="00324C2F"/>
    <w:rsid w:val="00324CCB"/>
    <w:rsid w:val="00324F6F"/>
    <w:rsid w:val="00324FC4"/>
    <w:rsid w:val="0032503E"/>
    <w:rsid w:val="0032513F"/>
    <w:rsid w:val="00325409"/>
    <w:rsid w:val="00325452"/>
    <w:rsid w:val="003254AC"/>
    <w:rsid w:val="003254B9"/>
    <w:rsid w:val="00325D19"/>
    <w:rsid w:val="00325D98"/>
    <w:rsid w:val="003261CC"/>
    <w:rsid w:val="003262D2"/>
    <w:rsid w:val="0032641A"/>
    <w:rsid w:val="00326440"/>
    <w:rsid w:val="00326A13"/>
    <w:rsid w:val="00326BA8"/>
    <w:rsid w:val="00326C1B"/>
    <w:rsid w:val="00326C84"/>
    <w:rsid w:val="00326D56"/>
    <w:rsid w:val="00326EB2"/>
    <w:rsid w:val="00327287"/>
    <w:rsid w:val="0032732B"/>
    <w:rsid w:val="00327398"/>
    <w:rsid w:val="003273E5"/>
    <w:rsid w:val="00327602"/>
    <w:rsid w:val="00327AAE"/>
    <w:rsid w:val="00327BD8"/>
    <w:rsid w:val="00327CEB"/>
    <w:rsid w:val="00327D12"/>
    <w:rsid w:val="00327DA6"/>
    <w:rsid w:val="00327EBC"/>
    <w:rsid w:val="00327F30"/>
    <w:rsid w:val="0033000C"/>
    <w:rsid w:val="003300E5"/>
    <w:rsid w:val="00330221"/>
    <w:rsid w:val="003303A0"/>
    <w:rsid w:val="00330516"/>
    <w:rsid w:val="00330586"/>
    <w:rsid w:val="00330817"/>
    <w:rsid w:val="0033096E"/>
    <w:rsid w:val="00330C82"/>
    <w:rsid w:val="00330D95"/>
    <w:rsid w:val="00331076"/>
    <w:rsid w:val="003310D9"/>
    <w:rsid w:val="00331390"/>
    <w:rsid w:val="00331661"/>
    <w:rsid w:val="003316F8"/>
    <w:rsid w:val="00331A13"/>
    <w:rsid w:val="00331A4C"/>
    <w:rsid w:val="00331A6A"/>
    <w:rsid w:val="00331F56"/>
    <w:rsid w:val="003320F2"/>
    <w:rsid w:val="003320FF"/>
    <w:rsid w:val="00332162"/>
    <w:rsid w:val="00332184"/>
    <w:rsid w:val="003323E2"/>
    <w:rsid w:val="00332431"/>
    <w:rsid w:val="003324B5"/>
    <w:rsid w:val="003325DF"/>
    <w:rsid w:val="00332602"/>
    <w:rsid w:val="00332896"/>
    <w:rsid w:val="00332A28"/>
    <w:rsid w:val="00332F0E"/>
    <w:rsid w:val="003330C0"/>
    <w:rsid w:val="003335DD"/>
    <w:rsid w:val="00333A5E"/>
    <w:rsid w:val="00333CB6"/>
    <w:rsid w:val="003340B4"/>
    <w:rsid w:val="00334600"/>
    <w:rsid w:val="00334621"/>
    <w:rsid w:val="00334892"/>
    <w:rsid w:val="003348D6"/>
    <w:rsid w:val="00334AA9"/>
    <w:rsid w:val="00334C92"/>
    <w:rsid w:val="00334D65"/>
    <w:rsid w:val="00334D8C"/>
    <w:rsid w:val="00334F07"/>
    <w:rsid w:val="00334F81"/>
    <w:rsid w:val="00334FA9"/>
    <w:rsid w:val="003351C5"/>
    <w:rsid w:val="0033520A"/>
    <w:rsid w:val="003352B6"/>
    <w:rsid w:val="0033532E"/>
    <w:rsid w:val="003353A8"/>
    <w:rsid w:val="00335479"/>
    <w:rsid w:val="0033551B"/>
    <w:rsid w:val="003356A1"/>
    <w:rsid w:val="0033596C"/>
    <w:rsid w:val="00335C28"/>
    <w:rsid w:val="00335DD4"/>
    <w:rsid w:val="00335F07"/>
    <w:rsid w:val="00335F9D"/>
    <w:rsid w:val="00336004"/>
    <w:rsid w:val="00336219"/>
    <w:rsid w:val="003365B2"/>
    <w:rsid w:val="003365EA"/>
    <w:rsid w:val="00336761"/>
    <w:rsid w:val="0033677A"/>
    <w:rsid w:val="003368D0"/>
    <w:rsid w:val="00336A40"/>
    <w:rsid w:val="00336B1A"/>
    <w:rsid w:val="00336D7E"/>
    <w:rsid w:val="00337147"/>
    <w:rsid w:val="0033714E"/>
    <w:rsid w:val="0033748D"/>
    <w:rsid w:val="003374F2"/>
    <w:rsid w:val="003376D6"/>
    <w:rsid w:val="00337934"/>
    <w:rsid w:val="00337999"/>
    <w:rsid w:val="00337CD0"/>
    <w:rsid w:val="00337D1D"/>
    <w:rsid w:val="00337DA8"/>
    <w:rsid w:val="00337EA0"/>
    <w:rsid w:val="0034009E"/>
    <w:rsid w:val="003405BA"/>
    <w:rsid w:val="00340654"/>
    <w:rsid w:val="003408D9"/>
    <w:rsid w:val="00340903"/>
    <w:rsid w:val="00340A4A"/>
    <w:rsid w:val="00340A71"/>
    <w:rsid w:val="00340BE4"/>
    <w:rsid w:val="00340D35"/>
    <w:rsid w:val="00340EB1"/>
    <w:rsid w:val="0034145A"/>
    <w:rsid w:val="003414EF"/>
    <w:rsid w:val="003414F6"/>
    <w:rsid w:val="0034161B"/>
    <w:rsid w:val="00341931"/>
    <w:rsid w:val="00341B30"/>
    <w:rsid w:val="00341CE6"/>
    <w:rsid w:val="00341D66"/>
    <w:rsid w:val="0034210A"/>
    <w:rsid w:val="00342119"/>
    <w:rsid w:val="003425A1"/>
    <w:rsid w:val="00342744"/>
    <w:rsid w:val="003428FD"/>
    <w:rsid w:val="0034298D"/>
    <w:rsid w:val="00342A01"/>
    <w:rsid w:val="00342DD7"/>
    <w:rsid w:val="00342E03"/>
    <w:rsid w:val="00342E36"/>
    <w:rsid w:val="00342FAB"/>
    <w:rsid w:val="003431E4"/>
    <w:rsid w:val="003431FE"/>
    <w:rsid w:val="00343407"/>
    <w:rsid w:val="00343448"/>
    <w:rsid w:val="0034359A"/>
    <w:rsid w:val="003435BD"/>
    <w:rsid w:val="003435E3"/>
    <w:rsid w:val="00343B95"/>
    <w:rsid w:val="00343F0D"/>
    <w:rsid w:val="003440B8"/>
    <w:rsid w:val="003440E9"/>
    <w:rsid w:val="0034447A"/>
    <w:rsid w:val="003444B1"/>
    <w:rsid w:val="003445F9"/>
    <w:rsid w:val="003446EB"/>
    <w:rsid w:val="0034477B"/>
    <w:rsid w:val="00344915"/>
    <w:rsid w:val="00344AB5"/>
    <w:rsid w:val="0034511F"/>
    <w:rsid w:val="003452B4"/>
    <w:rsid w:val="00345849"/>
    <w:rsid w:val="003458D8"/>
    <w:rsid w:val="00345A11"/>
    <w:rsid w:val="00345E10"/>
    <w:rsid w:val="00345E8E"/>
    <w:rsid w:val="00345F52"/>
    <w:rsid w:val="003460D6"/>
    <w:rsid w:val="003460F3"/>
    <w:rsid w:val="003461C1"/>
    <w:rsid w:val="0034628D"/>
    <w:rsid w:val="003464DA"/>
    <w:rsid w:val="003466E0"/>
    <w:rsid w:val="00346778"/>
    <w:rsid w:val="00346791"/>
    <w:rsid w:val="003467B2"/>
    <w:rsid w:val="00346ACE"/>
    <w:rsid w:val="00346BBC"/>
    <w:rsid w:val="00346C30"/>
    <w:rsid w:val="00346E47"/>
    <w:rsid w:val="00347361"/>
    <w:rsid w:val="00347472"/>
    <w:rsid w:val="0034757F"/>
    <w:rsid w:val="003475C8"/>
    <w:rsid w:val="003475F4"/>
    <w:rsid w:val="00347905"/>
    <w:rsid w:val="0034797B"/>
    <w:rsid w:val="00347996"/>
    <w:rsid w:val="00347C1F"/>
    <w:rsid w:val="00347D67"/>
    <w:rsid w:val="00347E4B"/>
    <w:rsid w:val="00347EDE"/>
    <w:rsid w:val="00350024"/>
    <w:rsid w:val="0035037D"/>
    <w:rsid w:val="00350701"/>
    <w:rsid w:val="0035089D"/>
    <w:rsid w:val="003508A0"/>
    <w:rsid w:val="0035093E"/>
    <w:rsid w:val="00350C82"/>
    <w:rsid w:val="00350D7E"/>
    <w:rsid w:val="0035127B"/>
    <w:rsid w:val="00351387"/>
    <w:rsid w:val="00351523"/>
    <w:rsid w:val="003516EF"/>
    <w:rsid w:val="00351810"/>
    <w:rsid w:val="00351904"/>
    <w:rsid w:val="00351914"/>
    <w:rsid w:val="00351A91"/>
    <w:rsid w:val="00351B69"/>
    <w:rsid w:val="00351D01"/>
    <w:rsid w:val="00351E1A"/>
    <w:rsid w:val="00352096"/>
    <w:rsid w:val="003520A8"/>
    <w:rsid w:val="0035229B"/>
    <w:rsid w:val="00352304"/>
    <w:rsid w:val="00352A58"/>
    <w:rsid w:val="00352D04"/>
    <w:rsid w:val="00353031"/>
    <w:rsid w:val="00353203"/>
    <w:rsid w:val="003534A5"/>
    <w:rsid w:val="00353764"/>
    <w:rsid w:val="0035384F"/>
    <w:rsid w:val="00353EB6"/>
    <w:rsid w:val="00354199"/>
    <w:rsid w:val="003541BE"/>
    <w:rsid w:val="00354A00"/>
    <w:rsid w:val="00354ACB"/>
    <w:rsid w:val="00354B5B"/>
    <w:rsid w:val="00354BA2"/>
    <w:rsid w:val="00354CCC"/>
    <w:rsid w:val="00354EB8"/>
    <w:rsid w:val="003551A4"/>
    <w:rsid w:val="00355352"/>
    <w:rsid w:val="0035537F"/>
    <w:rsid w:val="00355391"/>
    <w:rsid w:val="0035553D"/>
    <w:rsid w:val="00355886"/>
    <w:rsid w:val="0035596A"/>
    <w:rsid w:val="003559C6"/>
    <w:rsid w:val="00355C46"/>
    <w:rsid w:val="00355CAF"/>
    <w:rsid w:val="00355FC0"/>
    <w:rsid w:val="003560CC"/>
    <w:rsid w:val="0035612A"/>
    <w:rsid w:val="0035618A"/>
    <w:rsid w:val="003562E4"/>
    <w:rsid w:val="00356371"/>
    <w:rsid w:val="00356577"/>
    <w:rsid w:val="00356702"/>
    <w:rsid w:val="00356714"/>
    <w:rsid w:val="0035677F"/>
    <w:rsid w:val="003568BD"/>
    <w:rsid w:val="00356994"/>
    <w:rsid w:val="00356B7F"/>
    <w:rsid w:val="00356BDE"/>
    <w:rsid w:val="00356C74"/>
    <w:rsid w:val="00356CC4"/>
    <w:rsid w:val="00356CE9"/>
    <w:rsid w:val="00356D88"/>
    <w:rsid w:val="00356EAB"/>
    <w:rsid w:val="003571F7"/>
    <w:rsid w:val="00357457"/>
    <w:rsid w:val="00357809"/>
    <w:rsid w:val="0035794C"/>
    <w:rsid w:val="0035796E"/>
    <w:rsid w:val="003579AF"/>
    <w:rsid w:val="00357B03"/>
    <w:rsid w:val="00357F76"/>
    <w:rsid w:val="00360178"/>
    <w:rsid w:val="003601F0"/>
    <w:rsid w:val="00360311"/>
    <w:rsid w:val="0036085A"/>
    <w:rsid w:val="003608B3"/>
    <w:rsid w:val="00360949"/>
    <w:rsid w:val="00361184"/>
    <w:rsid w:val="0036128F"/>
    <w:rsid w:val="0036159E"/>
    <w:rsid w:val="00361625"/>
    <w:rsid w:val="003616A4"/>
    <w:rsid w:val="003617B4"/>
    <w:rsid w:val="0036192A"/>
    <w:rsid w:val="00361CF3"/>
    <w:rsid w:val="00361E45"/>
    <w:rsid w:val="00361F71"/>
    <w:rsid w:val="00362043"/>
    <w:rsid w:val="003620C8"/>
    <w:rsid w:val="0036232D"/>
    <w:rsid w:val="00362780"/>
    <w:rsid w:val="003627DD"/>
    <w:rsid w:val="0036286A"/>
    <w:rsid w:val="003629C5"/>
    <w:rsid w:val="00362C09"/>
    <w:rsid w:val="00362DF9"/>
    <w:rsid w:val="00363125"/>
    <w:rsid w:val="00363140"/>
    <w:rsid w:val="003631D6"/>
    <w:rsid w:val="003631F3"/>
    <w:rsid w:val="0036332E"/>
    <w:rsid w:val="00363348"/>
    <w:rsid w:val="0036334A"/>
    <w:rsid w:val="00363614"/>
    <w:rsid w:val="00363776"/>
    <w:rsid w:val="003637E8"/>
    <w:rsid w:val="003637F0"/>
    <w:rsid w:val="00363AA1"/>
    <w:rsid w:val="00363BA8"/>
    <w:rsid w:val="00363D0E"/>
    <w:rsid w:val="00363DC3"/>
    <w:rsid w:val="00363E28"/>
    <w:rsid w:val="00363F30"/>
    <w:rsid w:val="00364115"/>
    <w:rsid w:val="00364604"/>
    <w:rsid w:val="00364742"/>
    <w:rsid w:val="00364865"/>
    <w:rsid w:val="003649EE"/>
    <w:rsid w:val="00364A28"/>
    <w:rsid w:val="00364A81"/>
    <w:rsid w:val="00364AD6"/>
    <w:rsid w:val="00364B5C"/>
    <w:rsid w:val="00364BD3"/>
    <w:rsid w:val="00364C9B"/>
    <w:rsid w:val="00364D45"/>
    <w:rsid w:val="00364D9A"/>
    <w:rsid w:val="00364DBD"/>
    <w:rsid w:val="00365006"/>
    <w:rsid w:val="00365032"/>
    <w:rsid w:val="003654B2"/>
    <w:rsid w:val="00365713"/>
    <w:rsid w:val="003658C0"/>
    <w:rsid w:val="0036599D"/>
    <w:rsid w:val="003659CF"/>
    <w:rsid w:val="00365A35"/>
    <w:rsid w:val="00365A78"/>
    <w:rsid w:val="00365C79"/>
    <w:rsid w:val="00366021"/>
    <w:rsid w:val="003661F1"/>
    <w:rsid w:val="003661F4"/>
    <w:rsid w:val="003663EC"/>
    <w:rsid w:val="0036696F"/>
    <w:rsid w:val="00366C00"/>
    <w:rsid w:val="00366E00"/>
    <w:rsid w:val="00366EF3"/>
    <w:rsid w:val="00366FE0"/>
    <w:rsid w:val="00367202"/>
    <w:rsid w:val="003672F3"/>
    <w:rsid w:val="003673EF"/>
    <w:rsid w:val="00367520"/>
    <w:rsid w:val="00367544"/>
    <w:rsid w:val="00367862"/>
    <w:rsid w:val="00367C53"/>
    <w:rsid w:val="00367DEA"/>
    <w:rsid w:val="00367E9F"/>
    <w:rsid w:val="003704E9"/>
    <w:rsid w:val="003705D7"/>
    <w:rsid w:val="00370627"/>
    <w:rsid w:val="003709A2"/>
    <w:rsid w:val="00370BEC"/>
    <w:rsid w:val="00370D76"/>
    <w:rsid w:val="00370EA0"/>
    <w:rsid w:val="00370F71"/>
    <w:rsid w:val="00371073"/>
    <w:rsid w:val="003712A6"/>
    <w:rsid w:val="003715AC"/>
    <w:rsid w:val="0037168C"/>
    <w:rsid w:val="003716EE"/>
    <w:rsid w:val="00371A66"/>
    <w:rsid w:val="00371DB3"/>
    <w:rsid w:val="00371E6C"/>
    <w:rsid w:val="00371EE6"/>
    <w:rsid w:val="00372109"/>
    <w:rsid w:val="0037215D"/>
    <w:rsid w:val="003725D0"/>
    <w:rsid w:val="00372BB5"/>
    <w:rsid w:val="00372C01"/>
    <w:rsid w:val="00372DCA"/>
    <w:rsid w:val="00373197"/>
    <w:rsid w:val="003734CC"/>
    <w:rsid w:val="003734FB"/>
    <w:rsid w:val="003740DE"/>
    <w:rsid w:val="00374307"/>
    <w:rsid w:val="003747C3"/>
    <w:rsid w:val="003747D4"/>
    <w:rsid w:val="00374810"/>
    <w:rsid w:val="0037489C"/>
    <w:rsid w:val="00374921"/>
    <w:rsid w:val="00374B63"/>
    <w:rsid w:val="00374BC1"/>
    <w:rsid w:val="00374D23"/>
    <w:rsid w:val="00374DA2"/>
    <w:rsid w:val="00374E93"/>
    <w:rsid w:val="00374F21"/>
    <w:rsid w:val="003750F7"/>
    <w:rsid w:val="0037523D"/>
    <w:rsid w:val="003758C9"/>
    <w:rsid w:val="003758E5"/>
    <w:rsid w:val="0037591A"/>
    <w:rsid w:val="003759A7"/>
    <w:rsid w:val="00375C7D"/>
    <w:rsid w:val="00375DF7"/>
    <w:rsid w:val="00375E05"/>
    <w:rsid w:val="00376088"/>
    <w:rsid w:val="00376426"/>
    <w:rsid w:val="0037676C"/>
    <w:rsid w:val="003768D4"/>
    <w:rsid w:val="00376A68"/>
    <w:rsid w:val="00376B58"/>
    <w:rsid w:val="00376E09"/>
    <w:rsid w:val="00377016"/>
    <w:rsid w:val="003771E3"/>
    <w:rsid w:val="0037725F"/>
    <w:rsid w:val="0037746D"/>
    <w:rsid w:val="0037766F"/>
    <w:rsid w:val="00380276"/>
    <w:rsid w:val="003803ED"/>
    <w:rsid w:val="003805A0"/>
    <w:rsid w:val="003805FC"/>
    <w:rsid w:val="003807CD"/>
    <w:rsid w:val="0038089C"/>
    <w:rsid w:val="0038090E"/>
    <w:rsid w:val="0038098D"/>
    <w:rsid w:val="00380A04"/>
    <w:rsid w:val="00380CBF"/>
    <w:rsid w:val="00380EFC"/>
    <w:rsid w:val="00380FCF"/>
    <w:rsid w:val="00381269"/>
    <w:rsid w:val="003815DB"/>
    <w:rsid w:val="0038181E"/>
    <w:rsid w:val="003818B3"/>
    <w:rsid w:val="00381B21"/>
    <w:rsid w:val="00381CFB"/>
    <w:rsid w:val="003820F4"/>
    <w:rsid w:val="0038234B"/>
    <w:rsid w:val="003827C0"/>
    <w:rsid w:val="0038289B"/>
    <w:rsid w:val="0038289C"/>
    <w:rsid w:val="00382A1E"/>
    <w:rsid w:val="00382AAB"/>
    <w:rsid w:val="00382C0B"/>
    <w:rsid w:val="00382DD6"/>
    <w:rsid w:val="00382F06"/>
    <w:rsid w:val="003830A2"/>
    <w:rsid w:val="00383327"/>
    <w:rsid w:val="00383422"/>
    <w:rsid w:val="003836C1"/>
    <w:rsid w:val="00383770"/>
    <w:rsid w:val="00383CDB"/>
    <w:rsid w:val="00383CE2"/>
    <w:rsid w:val="00383E52"/>
    <w:rsid w:val="00383EEE"/>
    <w:rsid w:val="00384205"/>
    <w:rsid w:val="003843DA"/>
    <w:rsid w:val="0038494A"/>
    <w:rsid w:val="00384A8F"/>
    <w:rsid w:val="00384BD1"/>
    <w:rsid w:val="00384BD6"/>
    <w:rsid w:val="00384E1C"/>
    <w:rsid w:val="00384E9B"/>
    <w:rsid w:val="00384EF5"/>
    <w:rsid w:val="00385002"/>
    <w:rsid w:val="00385008"/>
    <w:rsid w:val="003850E3"/>
    <w:rsid w:val="003851DA"/>
    <w:rsid w:val="0038564F"/>
    <w:rsid w:val="00385A6F"/>
    <w:rsid w:val="00385ECB"/>
    <w:rsid w:val="0038608A"/>
    <w:rsid w:val="00386321"/>
    <w:rsid w:val="003863AC"/>
    <w:rsid w:val="003863C7"/>
    <w:rsid w:val="003865F9"/>
    <w:rsid w:val="00386622"/>
    <w:rsid w:val="0038662B"/>
    <w:rsid w:val="00386777"/>
    <w:rsid w:val="00386864"/>
    <w:rsid w:val="00386CE7"/>
    <w:rsid w:val="00386DCF"/>
    <w:rsid w:val="00386E46"/>
    <w:rsid w:val="00386F45"/>
    <w:rsid w:val="00387067"/>
    <w:rsid w:val="003871E1"/>
    <w:rsid w:val="003872F3"/>
    <w:rsid w:val="00387435"/>
    <w:rsid w:val="0038768B"/>
    <w:rsid w:val="0038786D"/>
    <w:rsid w:val="00387A0E"/>
    <w:rsid w:val="00387A10"/>
    <w:rsid w:val="00387A97"/>
    <w:rsid w:val="00387B0C"/>
    <w:rsid w:val="00387CA4"/>
    <w:rsid w:val="00387CDF"/>
    <w:rsid w:val="00387FF3"/>
    <w:rsid w:val="00390094"/>
    <w:rsid w:val="003900B6"/>
    <w:rsid w:val="003901B5"/>
    <w:rsid w:val="00390241"/>
    <w:rsid w:val="003904DD"/>
    <w:rsid w:val="00390548"/>
    <w:rsid w:val="00390611"/>
    <w:rsid w:val="00390671"/>
    <w:rsid w:val="003908DF"/>
    <w:rsid w:val="00390A1B"/>
    <w:rsid w:val="00390BDB"/>
    <w:rsid w:val="00390ECE"/>
    <w:rsid w:val="00390F88"/>
    <w:rsid w:val="003913A5"/>
    <w:rsid w:val="00391469"/>
    <w:rsid w:val="003915C6"/>
    <w:rsid w:val="0039166D"/>
    <w:rsid w:val="003917DF"/>
    <w:rsid w:val="00391A3F"/>
    <w:rsid w:val="00391AFF"/>
    <w:rsid w:val="00392539"/>
    <w:rsid w:val="003925B9"/>
    <w:rsid w:val="00392846"/>
    <w:rsid w:val="00392872"/>
    <w:rsid w:val="003928AF"/>
    <w:rsid w:val="00392920"/>
    <w:rsid w:val="00392A19"/>
    <w:rsid w:val="00392C5F"/>
    <w:rsid w:val="00392F1B"/>
    <w:rsid w:val="00393203"/>
    <w:rsid w:val="00393295"/>
    <w:rsid w:val="003934B7"/>
    <w:rsid w:val="00393B17"/>
    <w:rsid w:val="00393BCC"/>
    <w:rsid w:val="00393D9C"/>
    <w:rsid w:val="003942CA"/>
    <w:rsid w:val="003944C2"/>
    <w:rsid w:val="00394590"/>
    <w:rsid w:val="003946D5"/>
    <w:rsid w:val="003947BE"/>
    <w:rsid w:val="003947ED"/>
    <w:rsid w:val="00394814"/>
    <w:rsid w:val="00394EB8"/>
    <w:rsid w:val="00394FC8"/>
    <w:rsid w:val="003953DE"/>
    <w:rsid w:val="0039559B"/>
    <w:rsid w:val="0039565F"/>
    <w:rsid w:val="00395717"/>
    <w:rsid w:val="00395737"/>
    <w:rsid w:val="00395860"/>
    <w:rsid w:val="003958D8"/>
    <w:rsid w:val="00395919"/>
    <w:rsid w:val="00395929"/>
    <w:rsid w:val="00395BB3"/>
    <w:rsid w:val="00395C0A"/>
    <w:rsid w:val="00395D26"/>
    <w:rsid w:val="00395E4C"/>
    <w:rsid w:val="003962CA"/>
    <w:rsid w:val="0039639F"/>
    <w:rsid w:val="003964E2"/>
    <w:rsid w:val="00396603"/>
    <w:rsid w:val="00396A95"/>
    <w:rsid w:val="00396B52"/>
    <w:rsid w:val="00396B59"/>
    <w:rsid w:val="0039713C"/>
    <w:rsid w:val="003975FC"/>
    <w:rsid w:val="00397888"/>
    <w:rsid w:val="003978B2"/>
    <w:rsid w:val="00397A74"/>
    <w:rsid w:val="00397E0C"/>
    <w:rsid w:val="00397FC8"/>
    <w:rsid w:val="003A0672"/>
    <w:rsid w:val="003A0878"/>
    <w:rsid w:val="003A0AB9"/>
    <w:rsid w:val="003A0E73"/>
    <w:rsid w:val="003A0ECC"/>
    <w:rsid w:val="003A0F0E"/>
    <w:rsid w:val="003A1011"/>
    <w:rsid w:val="003A110A"/>
    <w:rsid w:val="003A114A"/>
    <w:rsid w:val="003A11E2"/>
    <w:rsid w:val="003A12F7"/>
    <w:rsid w:val="003A15C8"/>
    <w:rsid w:val="003A1811"/>
    <w:rsid w:val="003A1AAB"/>
    <w:rsid w:val="003A1B23"/>
    <w:rsid w:val="003A202A"/>
    <w:rsid w:val="003A2208"/>
    <w:rsid w:val="003A2273"/>
    <w:rsid w:val="003A237A"/>
    <w:rsid w:val="003A271A"/>
    <w:rsid w:val="003A27C8"/>
    <w:rsid w:val="003A29BD"/>
    <w:rsid w:val="003A2A83"/>
    <w:rsid w:val="003A2AED"/>
    <w:rsid w:val="003A2B60"/>
    <w:rsid w:val="003A2B65"/>
    <w:rsid w:val="003A2DF6"/>
    <w:rsid w:val="003A31EC"/>
    <w:rsid w:val="003A3433"/>
    <w:rsid w:val="003A35D1"/>
    <w:rsid w:val="003A368B"/>
    <w:rsid w:val="003A36F3"/>
    <w:rsid w:val="003A37B6"/>
    <w:rsid w:val="003A3993"/>
    <w:rsid w:val="003A39E6"/>
    <w:rsid w:val="003A3A0B"/>
    <w:rsid w:val="003A3A73"/>
    <w:rsid w:val="003A3C61"/>
    <w:rsid w:val="003A4B3F"/>
    <w:rsid w:val="003A4D06"/>
    <w:rsid w:val="003A4EFE"/>
    <w:rsid w:val="003A4FEB"/>
    <w:rsid w:val="003A50A8"/>
    <w:rsid w:val="003A523C"/>
    <w:rsid w:val="003A5362"/>
    <w:rsid w:val="003A53E8"/>
    <w:rsid w:val="003A55E1"/>
    <w:rsid w:val="003A5A0D"/>
    <w:rsid w:val="003A5C41"/>
    <w:rsid w:val="003A5E14"/>
    <w:rsid w:val="003A5E1D"/>
    <w:rsid w:val="003A5E5F"/>
    <w:rsid w:val="003A5E8E"/>
    <w:rsid w:val="003A5F44"/>
    <w:rsid w:val="003A6009"/>
    <w:rsid w:val="003A63DA"/>
    <w:rsid w:val="003A64E8"/>
    <w:rsid w:val="003A6684"/>
    <w:rsid w:val="003A67B4"/>
    <w:rsid w:val="003A67B8"/>
    <w:rsid w:val="003A6B11"/>
    <w:rsid w:val="003A6C70"/>
    <w:rsid w:val="003A6C77"/>
    <w:rsid w:val="003A6D10"/>
    <w:rsid w:val="003A6D50"/>
    <w:rsid w:val="003A6DA8"/>
    <w:rsid w:val="003A6E06"/>
    <w:rsid w:val="003A6EE6"/>
    <w:rsid w:val="003A72EE"/>
    <w:rsid w:val="003A73FA"/>
    <w:rsid w:val="003A7401"/>
    <w:rsid w:val="003A7A42"/>
    <w:rsid w:val="003A7A8E"/>
    <w:rsid w:val="003A7EED"/>
    <w:rsid w:val="003A7F41"/>
    <w:rsid w:val="003B000D"/>
    <w:rsid w:val="003B0093"/>
    <w:rsid w:val="003B030C"/>
    <w:rsid w:val="003B036B"/>
    <w:rsid w:val="003B039B"/>
    <w:rsid w:val="003B04E5"/>
    <w:rsid w:val="003B05FE"/>
    <w:rsid w:val="003B0634"/>
    <w:rsid w:val="003B0883"/>
    <w:rsid w:val="003B08DA"/>
    <w:rsid w:val="003B0D77"/>
    <w:rsid w:val="003B0E69"/>
    <w:rsid w:val="003B1166"/>
    <w:rsid w:val="003B137C"/>
    <w:rsid w:val="003B13E0"/>
    <w:rsid w:val="003B16B2"/>
    <w:rsid w:val="003B1833"/>
    <w:rsid w:val="003B1993"/>
    <w:rsid w:val="003B1A69"/>
    <w:rsid w:val="003B1BB7"/>
    <w:rsid w:val="003B1C2A"/>
    <w:rsid w:val="003B1D7B"/>
    <w:rsid w:val="003B1E7C"/>
    <w:rsid w:val="003B1F61"/>
    <w:rsid w:val="003B1F77"/>
    <w:rsid w:val="003B1FCD"/>
    <w:rsid w:val="003B205A"/>
    <w:rsid w:val="003B220D"/>
    <w:rsid w:val="003B2425"/>
    <w:rsid w:val="003B248E"/>
    <w:rsid w:val="003B277C"/>
    <w:rsid w:val="003B2835"/>
    <w:rsid w:val="003B2937"/>
    <w:rsid w:val="003B29F4"/>
    <w:rsid w:val="003B2B3D"/>
    <w:rsid w:val="003B2B65"/>
    <w:rsid w:val="003B2BF0"/>
    <w:rsid w:val="003B2C13"/>
    <w:rsid w:val="003B2C4A"/>
    <w:rsid w:val="003B2DBA"/>
    <w:rsid w:val="003B33D0"/>
    <w:rsid w:val="003B34EE"/>
    <w:rsid w:val="003B36CC"/>
    <w:rsid w:val="003B3762"/>
    <w:rsid w:val="003B379E"/>
    <w:rsid w:val="003B3A02"/>
    <w:rsid w:val="003B3D10"/>
    <w:rsid w:val="003B3DB8"/>
    <w:rsid w:val="003B3FB9"/>
    <w:rsid w:val="003B3FD4"/>
    <w:rsid w:val="003B416B"/>
    <w:rsid w:val="003B4620"/>
    <w:rsid w:val="003B464E"/>
    <w:rsid w:val="003B482F"/>
    <w:rsid w:val="003B4B98"/>
    <w:rsid w:val="003B4CBE"/>
    <w:rsid w:val="003B53CB"/>
    <w:rsid w:val="003B5650"/>
    <w:rsid w:val="003B566F"/>
    <w:rsid w:val="003B5789"/>
    <w:rsid w:val="003B5CAC"/>
    <w:rsid w:val="003B5CED"/>
    <w:rsid w:val="003B5E07"/>
    <w:rsid w:val="003B5F6D"/>
    <w:rsid w:val="003B5F72"/>
    <w:rsid w:val="003B6016"/>
    <w:rsid w:val="003B6061"/>
    <w:rsid w:val="003B6282"/>
    <w:rsid w:val="003B660E"/>
    <w:rsid w:val="003B6835"/>
    <w:rsid w:val="003B695B"/>
    <w:rsid w:val="003B6B54"/>
    <w:rsid w:val="003B71D0"/>
    <w:rsid w:val="003B773C"/>
    <w:rsid w:val="003B77C3"/>
    <w:rsid w:val="003B79F8"/>
    <w:rsid w:val="003B7A32"/>
    <w:rsid w:val="003B7CB9"/>
    <w:rsid w:val="003B7D98"/>
    <w:rsid w:val="003B7EF5"/>
    <w:rsid w:val="003C085B"/>
    <w:rsid w:val="003C087D"/>
    <w:rsid w:val="003C0ACB"/>
    <w:rsid w:val="003C0BAB"/>
    <w:rsid w:val="003C0C04"/>
    <w:rsid w:val="003C0C3E"/>
    <w:rsid w:val="003C0E4B"/>
    <w:rsid w:val="003C0F01"/>
    <w:rsid w:val="003C156F"/>
    <w:rsid w:val="003C15A1"/>
    <w:rsid w:val="003C1904"/>
    <w:rsid w:val="003C199E"/>
    <w:rsid w:val="003C1AA9"/>
    <w:rsid w:val="003C1EC3"/>
    <w:rsid w:val="003C2064"/>
    <w:rsid w:val="003C2256"/>
    <w:rsid w:val="003C2388"/>
    <w:rsid w:val="003C23AB"/>
    <w:rsid w:val="003C24A9"/>
    <w:rsid w:val="003C297E"/>
    <w:rsid w:val="003C2B27"/>
    <w:rsid w:val="003C2BF8"/>
    <w:rsid w:val="003C2E06"/>
    <w:rsid w:val="003C3277"/>
    <w:rsid w:val="003C33F0"/>
    <w:rsid w:val="003C341F"/>
    <w:rsid w:val="003C3CF4"/>
    <w:rsid w:val="003C3D5C"/>
    <w:rsid w:val="003C4219"/>
    <w:rsid w:val="003C4233"/>
    <w:rsid w:val="003C43A3"/>
    <w:rsid w:val="003C448C"/>
    <w:rsid w:val="003C46AA"/>
    <w:rsid w:val="003C46EF"/>
    <w:rsid w:val="003C49D8"/>
    <w:rsid w:val="003C49D9"/>
    <w:rsid w:val="003C49F5"/>
    <w:rsid w:val="003C4AE8"/>
    <w:rsid w:val="003C5034"/>
    <w:rsid w:val="003C507F"/>
    <w:rsid w:val="003C5106"/>
    <w:rsid w:val="003C52E0"/>
    <w:rsid w:val="003C5658"/>
    <w:rsid w:val="003C56D9"/>
    <w:rsid w:val="003C5732"/>
    <w:rsid w:val="003C5C31"/>
    <w:rsid w:val="003C6328"/>
    <w:rsid w:val="003C649C"/>
    <w:rsid w:val="003C6708"/>
    <w:rsid w:val="003C685A"/>
    <w:rsid w:val="003C696D"/>
    <w:rsid w:val="003C6C47"/>
    <w:rsid w:val="003C6CB1"/>
    <w:rsid w:val="003C6F06"/>
    <w:rsid w:val="003C6FF1"/>
    <w:rsid w:val="003C70D1"/>
    <w:rsid w:val="003C70F5"/>
    <w:rsid w:val="003C70FE"/>
    <w:rsid w:val="003C732D"/>
    <w:rsid w:val="003C7381"/>
    <w:rsid w:val="003C752A"/>
    <w:rsid w:val="003C752D"/>
    <w:rsid w:val="003C772F"/>
    <w:rsid w:val="003C782E"/>
    <w:rsid w:val="003C7848"/>
    <w:rsid w:val="003C7876"/>
    <w:rsid w:val="003C794F"/>
    <w:rsid w:val="003C798A"/>
    <w:rsid w:val="003C7A96"/>
    <w:rsid w:val="003C7D79"/>
    <w:rsid w:val="003C7F8F"/>
    <w:rsid w:val="003D04C9"/>
    <w:rsid w:val="003D07F7"/>
    <w:rsid w:val="003D0817"/>
    <w:rsid w:val="003D0A3D"/>
    <w:rsid w:val="003D0C87"/>
    <w:rsid w:val="003D0D39"/>
    <w:rsid w:val="003D0DCA"/>
    <w:rsid w:val="003D12DC"/>
    <w:rsid w:val="003D12FA"/>
    <w:rsid w:val="003D13E0"/>
    <w:rsid w:val="003D1419"/>
    <w:rsid w:val="003D15AB"/>
    <w:rsid w:val="003D15D5"/>
    <w:rsid w:val="003D1645"/>
    <w:rsid w:val="003D1650"/>
    <w:rsid w:val="003D1858"/>
    <w:rsid w:val="003D18B7"/>
    <w:rsid w:val="003D19EF"/>
    <w:rsid w:val="003D1AD8"/>
    <w:rsid w:val="003D1AEC"/>
    <w:rsid w:val="003D1D00"/>
    <w:rsid w:val="003D1D81"/>
    <w:rsid w:val="003D1F96"/>
    <w:rsid w:val="003D1F9D"/>
    <w:rsid w:val="003D2162"/>
    <w:rsid w:val="003D27E4"/>
    <w:rsid w:val="003D27E6"/>
    <w:rsid w:val="003D2920"/>
    <w:rsid w:val="003D29FE"/>
    <w:rsid w:val="003D2A25"/>
    <w:rsid w:val="003D2B68"/>
    <w:rsid w:val="003D2C24"/>
    <w:rsid w:val="003D2F8E"/>
    <w:rsid w:val="003D3290"/>
    <w:rsid w:val="003D32D6"/>
    <w:rsid w:val="003D33F3"/>
    <w:rsid w:val="003D38F1"/>
    <w:rsid w:val="003D3E31"/>
    <w:rsid w:val="003D3E92"/>
    <w:rsid w:val="003D3F30"/>
    <w:rsid w:val="003D3FBD"/>
    <w:rsid w:val="003D3FC8"/>
    <w:rsid w:val="003D42B1"/>
    <w:rsid w:val="003D44BD"/>
    <w:rsid w:val="003D4880"/>
    <w:rsid w:val="003D4BA2"/>
    <w:rsid w:val="003D4D1B"/>
    <w:rsid w:val="003D5206"/>
    <w:rsid w:val="003D54CB"/>
    <w:rsid w:val="003D58D5"/>
    <w:rsid w:val="003D5921"/>
    <w:rsid w:val="003D5A77"/>
    <w:rsid w:val="003D5BE4"/>
    <w:rsid w:val="003D6011"/>
    <w:rsid w:val="003D61AE"/>
    <w:rsid w:val="003D6216"/>
    <w:rsid w:val="003D661A"/>
    <w:rsid w:val="003D68C9"/>
    <w:rsid w:val="003D6BF9"/>
    <w:rsid w:val="003D6E93"/>
    <w:rsid w:val="003D70A3"/>
    <w:rsid w:val="003D719C"/>
    <w:rsid w:val="003D7210"/>
    <w:rsid w:val="003D7227"/>
    <w:rsid w:val="003D741D"/>
    <w:rsid w:val="003D748F"/>
    <w:rsid w:val="003D7502"/>
    <w:rsid w:val="003D7546"/>
    <w:rsid w:val="003D758B"/>
    <w:rsid w:val="003D78E8"/>
    <w:rsid w:val="003D7B72"/>
    <w:rsid w:val="003D7CB1"/>
    <w:rsid w:val="003D7EED"/>
    <w:rsid w:val="003D7FB1"/>
    <w:rsid w:val="003E00D5"/>
    <w:rsid w:val="003E00FC"/>
    <w:rsid w:val="003E020B"/>
    <w:rsid w:val="003E0317"/>
    <w:rsid w:val="003E0403"/>
    <w:rsid w:val="003E0470"/>
    <w:rsid w:val="003E0916"/>
    <w:rsid w:val="003E0C92"/>
    <w:rsid w:val="003E0CCD"/>
    <w:rsid w:val="003E0D84"/>
    <w:rsid w:val="003E0E24"/>
    <w:rsid w:val="003E0EEC"/>
    <w:rsid w:val="003E0F8F"/>
    <w:rsid w:val="003E13C1"/>
    <w:rsid w:val="003E1602"/>
    <w:rsid w:val="003E1915"/>
    <w:rsid w:val="003E193D"/>
    <w:rsid w:val="003E19AC"/>
    <w:rsid w:val="003E1B91"/>
    <w:rsid w:val="003E1D2F"/>
    <w:rsid w:val="003E1DEB"/>
    <w:rsid w:val="003E1F07"/>
    <w:rsid w:val="003E1FB9"/>
    <w:rsid w:val="003E20E6"/>
    <w:rsid w:val="003E2279"/>
    <w:rsid w:val="003E230D"/>
    <w:rsid w:val="003E24BA"/>
    <w:rsid w:val="003E2C42"/>
    <w:rsid w:val="003E2E1C"/>
    <w:rsid w:val="003E2FF1"/>
    <w:rsid w:val="003E3270"/>
    <w:rsid w:val="003E3326"/>
    <w:rsid w:val="003E33DA"/>
    <w:rsid w:val="003E3504"/>
    <w:rsid w:val="003E3A87"/>
    <w:rsid w:val="003E3C2B"/>
    <w:rsid w:val="003E3C99"/>
    <w:rsid w:val="003E4222"/>
    <w:rsid w:val="003E4666"/>
    <w:rsid w:val="003E46E3"/>
    <w:rsid w:val="003E48D4"/>
    <w:rsid w:val="003E4A80"/>
    <w:rsid w:val="003E4AFC"/>
    <w:rsid w:val="003E4C32"/>
    <w:rsid w:val="003E4ECA"/>
    <w:rsid w:val="003E4FA8"/>
    <w:rsid w:val="003E5345"/>
    <w:rsid w:val="003E56CD"/>
    <w:rsid w:val="003E575F"/>
    <w:rsid w:val="003E5801"/>
    <w:rsid w:val="003E5803"/>
    <w:rsid w:val="003E58B1"/>
    <w:rsid w:val="003E58EA"/>
    <w:rsid w:val="003E5BB7"/>
    <w:rsid w:val="003E5CAA"/>
    <w:rsid w:val="003E5DB5"/>
    <w:rsid w:val="003E5F07"/>
    <w:rsid w:val="003E5F3A"/>
    <w:rsid w:val="003E60DE"/>
    <w:rsid w:val="003E6436"/>
    <w:rsid w:val="003E6475"/>
    <w:rsid w:val="003E6928"/>
    <w:rsid w:val="003E69F3"/>
    <w:rsid w:val="003E6D3F"/>
    <w:rsid w:val="003E7296"/>
    <w:rsid w:val="003E72F1"/>
    <w:rsid w:val="003E7349"/>
    <w:rsid w:val="003E758D"/>
    <w:rsid w:val="003E7597"/>
    <w:rsid w:val="003E7B98"/>
    <w:rsid w:val="003E7C8A"/>
    <w:rsid w:val="003E7E39"/>
    <w:rsid w:val="003F00C4"/>
    <w:rsid w:val="003F0286"/>
    <w:rsid w:val="003F0909"/>
    <w:rsid w:val="003F0AA0"/>
    <w:rsid w:val="003F0B13"/>
    <w:rsid w:val="003F0CB4"/>
    <w:rsid w:val="003F0D37"/>
    <w:rsid w:val="003F0DBA"/>
    <w:rsid w:val="003F0E46"/>
    <w:rsid w:val="003F1061"/>
    <w:rsid w:val="003F115E"/>
    <w:rsid w:val="003F1203"/>
    <w:rsid w:val="003F1296"/>
    <w:rsid w:val="003F16E3"/>
    <w:rsid w:val="003F1992"/>
    <w:rsid w:val="003F1BEA"/>
    <w:rsid w:val="003F1D49"/>
    <w:rsid w:val="003F1DB0"/>
    <w:rsid w:val="003F1E3B"/>
    <w:rsid w:val="003F1E91"/>
    <w:rsid w:val="003F1F10"/>
    <w:rsid w:val="003F1F4C"/>
    <w:rsid w:val="003F2016"/>
    <w:rsid w:val="003F21DB"/>
    <w:rsid w:val="003F2222"/>
    <w:rsid w:val="003F25A4"/>
    <w:rsid w:val="003F267F"/>
    <w:rsid w:val="003F26D1"/>
    <w:rsid w:val="003F2719"/>
    <w:rsid w:val="003F287D"/>
    <w:rsid w:val="003F28C9"/>
    <w:rsid w:val="003F2A6D"/>
    <w:rsid w:val="003F2A81"/>
    <w:rsid w:val="003F2AC4"/>
    <w:rsid w:val="003F2B14"/>
    <w:rsid w:val="003F2E7F"/>
    <w:rsid w:val="003F2F7D"/>
    <w:rsid w:val="003F32D8"/>
    <w:rsid w:val="003F34A3"/>
    <w:rsid w:val="003F3669"/>
    <w:rsid w:val="003F3899"/>
    <w:rsid w:val="003F38E0"/>
    <w:rsid w:val="003F3AA4"/>
    <w:rsid w:val="003F3BAE"/>
    <w:rsid w:val="003F3C89"/>
    <w:rsid w:val="003F3F44"/>
    <w:rsid w:val="003F40C7"/>
    <w:rsid w:val="003F416E"/>
    <w:rsid w:val="003F4294"/>
    <w:rsid w:val="003F43D8"/>
    <w:rsid w:val="003F4A26"/>
    <w:rsid w:val="003F4A2D"/>
    <w:rsid w:val="003F4B72"/>
    <w:rsid w:val="003F5099"/>
    <w:rsid w:val="003F5214"/>
    <w:rsid w:val="003F5335"/>
    <w:rsid w:val="003F5529"/>
    <w:rsid w:val="003F557E"/>
    <w:rsid w:val="003F57A0"/>
    <w:rsid w:val="003F5947"/>
    <w:rsid w:val="003F5AAE"/>
    <w:rsid w:val="003F5C99"/>
    <w:rsid w:val="003F618A"/>
    <w:rsid w:val="003F61BE"/>
    <w:rsid w:val="003F6265"/>
    <w:rsid w:val="003F6352"/>
    <w:rsid w:val="003F6509"/>
    <w:rsid w:val="003F6815"/>
    <w:rsid w:val="003F69CA"/>
    <w:rsid w:val="003F6C1B"/>
    <w:rsid w:val="003F6C2F"/>
    <w:rsid w:val="003F6C62"/>
    <w:rsid w:val="003F706C"/>
    <w:rsid w:val="003F71AD"/>
    <w:rsid w:val="003F71B2"/>
    <w:rsid w:val="003F72C8"/>
    <w:rsid w:val="003F7570"/>
    <w:rsid w:val="003F7837"/>
    <w:rsid w:val="003F7C94"/>
    <w:rsid w:val="003F7EBB"/>
    <w:rsid w:val="003F7FF9"/>
    <w:rsid w:val="00400037"/>
    <w:rsid w:val="0040015E"/>
    <w:rsid w:val="004001CF"/>
    <w:rsid w:val="004001F5"/>
    <w:rsid w:val="00400226"/>
    <w:rsid w:val="00400592"/>
    <w:rsid w:val="004005D7"/>
    <w:rsid w:val="0040067D"/>
    <w:rsid w:val="00400712"/>
    <w:rsid w:val="0040075E"/>
    <w:rsid w:val="0040081F"/>
    <w:rsid w:val="004008FC"/>
    <w:rsid w:val="00400987"/>
    <w:rsid w:val="004009DF"/>
    <w:rsid w:val="00400C1B"/>
    <w:rsid w:val="00400CE1"/>
    <w:rsid w:val="00400D0F"/>
    <w:rsid w:val="00400DEC"/>
    <w:rsid w:val="00400F13"/>
    <w:rsid w:val="0040156E"/>
    <w:rsid w:val="004018A5"/>
    <w:rsid w:val="004019B5"/>
    <w:rsid w:val="00401A6B"/>
    <w:rsid w:val="00402004"/>
    <w:rsid w:val="00402192"/>
    <w:rsid w:val="0040246E"/>
    <w:rsid w:val="004026A7"/>
    <w:rsid w:val="00402860"/>
    <w:rsid w:val="004028A7"/>
    <w:rsid w:val="00402976"/>
    <w:rsid w:val="00402B2F"/>
    <w:rsid w:val="00402BA0"/>
    <w:rsid w:val="00402BB0"/>
    <w:rsid w:val="0040327A"/>
    <w:rsid w:val="0040336C"/>
    <w:rsid w:val="00403381"/>
    <w:rsid w:val="004033CD"/>
    <w:rsid w:val="0040354C"/>
    <w:rsid w:val="004036D0"/>
    <w:rsid w:val="0040388F"/>
    <w:rsid w:val="004039A3"/>
    <w:rsid w:val="00403B8F"/>
    <w:rsid w:val="00403C00"/>
    <w:rsid w:val="00403C78"/>
    <w:rsid w:val="00403D68"/>
    <w:rsid w:val="00403E6B"/>
    <w:rsid w:val="00403F50"/>
    <w:rsid w:val="00403FD3"/>
    <w:rsid w:val="0040415D"/>
    <w:rsid w:val="00404190"/>
    <w:rsid w:val="0040434D"/>
    <w:rsid w:val="004047AB"/>
    <w:rsid w:val="00404F01"/>
    <w:rsid w:val="0040509A"/>
    <w:rsid w:val="004052AD"/>
    <w:rsid w:val="0040535D"/>
    <w:rsid w:val="00405512"/>
    <w:rsid w:val="0040556C"/>
    <w:rsid w:val="00405B69"/>
    <w:rsid w:val="00405D43"/>
    <w:rsid w:val="00405DB7"/>
    <w:rsid w:val="00405F36"/>
    <w:rsid w:val="0040656D"/>
    <w:rsid w:val="00406722"/>
    <w:rsid w:val="0040672F"/>
    <w:rsid w:val="004067C5"/>
    <w:rsid w:val="00406875"/>
    <w:rsid w:val="00406916"/>
    <w:rsid w:val="00406B28"/>
    <w:rsid w:val="00406D8E"/>
    <w:rsid w:val="00407065"/>
    <w:rsid w:val="00407300"/>
    <w:rsid w:val="004075F3"/>
    <w:rsid w:val="0040766D"/>
    <w:rsid w:val="004076BE"/>
    <w:rsid w:val="004076E3"/>
    <w:rsid w:val="00407739"/>
    <w:rsid w:val="00407966"/>
    <w:rsid w:val="004079DA"/>
    <w:rsid w:val="00407CA4"/>
    <w:rsid w:val="00407F0C"/>
    <w:rsid w:val="00410086"/>
    <w:rsid w:val="00410283"/>
    <w:rsid w:val="004102FB"/>
    <w:rsid w:val="004104AD"/>
    <w:rsid w:val="004104AF"/>
    <w:rsid w:val="004104EA"/>
    <w:rsid w:val="004108C2"/>
    <w:rsid w:val="00410987"/>
    <w:rsid w:val="004109CF"/>
    <w:rsid w:val="00410A21"/>
    <w:rsid w:val="00410A61"/>
    <w:rsid w:val="00410FB4"/>
    <w:rsid w:val="004110B5"/>
    <w:rsid w:val="004110F2"/>
    <w:rsid w:val="004111AB"/>
    <w:rsid w:val="0041124C"/>
    <w:rsid w:val="00411272"/>
    <w:rsid w:val="004113A3"/>
    <w:rsid w:val="004116A1"/>
    <w:rsid w:val="00411734"/>
    <w:rsid w:val="00411807"/>
    <w:rsid w:val="00411A13"/>
    <w:rsid w:val="00411B09"/>
    <w:rsid w:val="00411BFC"/>
    <w:rsid w:val="00411D09"/>
    <w:rsid w:val="00411F3F"/>
    <w:rsid w:val="0041224F"/>
    <w:rsid w:val="004122D5"/>
    <w:rsid w:val="004123ED"/>
    <w:rsid w:val="004125FE"/>
    <w:rsid w:val="0041289A"/>
    <w:rsid w:val="00412A46"/>
    <w:rsid w:val="00412B3A"/>
    <w:rsid w:val="00412D50"/>
    <w:rsid w:val="00412F90"/>
    <w:rsid w:val="00413054"/>
    <w:rsid w:val="00413090"/>
    <w:rsid w:val="004131A4"/>
    <w:rsid w:val="0041337A"/>
    <w:rsid w:val="00413412"/>
    <w:rsid w:val="00413492"/>
    <w:rsid w:val="004135A5"/>
    <w:rsid w:val="004135BC"/>
    <w:rsid w:val="0041385E"/>
    <w:rsid w:val="004139D8"/>
    <w:rsid w:val="00413D5E"/>
    <w:rsid w:val="00413D9C"/>
    <w:rsid w:val="00413DAB"/>
    <w:rsid w:val="0041410F"/>
    <w:rsid w:val="004142C9"/>
    <w:rsid w:val="00414968"/>
    <w:rsid w:val="00414C68"/>
    <w:rsid w:val="00414C76"/>
    <w:rsid w:val="00414DF6"/>
    <w:rsid w:val="00414E9E"/>
    <w:rsid w:val="004151C5"/>
    <w:rsid w:val="004151FD"/>
    <w:rsid w:val="00415371"/>
    <w:rsid w:val="004156DF"/>
    <w:rsid w:val="004158AA"/>
    <w:rsid w:val="004159B9"/>
    <w:rsid w:val="00415A36"/>
    <w:rsid w:val="00415CFA"/>
    <w:rsid w:val="00415F63"/>
    <w:rsid w:val="0041613E"/>
    <w:rsid w:val="00416163"/>
    <w:rsid w:val="0041650F"/>
    <w:rsid w:val="00416698"/>
    <w:rsid w:val="00416857"/>
    <w:rsid w:val="0041692A"/>
    <w:rsid w:val="00416DA2"/>
    <w:rsid w:val="0041711C"/>
    <w:rsid w:val="0041724A"/>
    <w:rsid w:val="00417349"/>
    <w:rsid w:val="004175B8"/>
    <w:rsid w:val="004175E3"/>
    <w:rsid w:val="0041761B"/>
    <w:rsid w:val="004176DA"/>
    <w:rsid w:val="0041775E"/>
    <w:rsid w:val="0041799B"/>
    <w:rsid w:val="00417A82"/>
    <w:rsid w:val="00417AAD"/>
    <w:rsid w:val="00417B07"/>
    <w:rsid w:val="00420076"/>
    <w:rsid w:val="00420690"/>
    <w:rsid w:val="00420816"/>
    <w:rsid w:val="00420B7F"/>
    <w:rsid w:val="00420F60"/>
    <w:rsid w:val="00420FD8"/>
    <w:rsid w:val="0042104C"/>
    <w:rsid w:val="004210EA"/>
    <w:rsid w:val="004211BC"/>
    <w:rsid w:val="0042135D"/>
    <w:rsid w:val="004216F6"/>
    <w:rsid w:val="00421938"/>
    <w:rsid w:val="00421B04"/>
    <w:rsid w:val="00421B6D"/>
    <w:rsid w:val="00421C2E"/>
    <w:rsid w:val="00421C9B"/>
    <w:rsid w:val="00421CFF"/>
    <w:rsid w:val="00421E46"/>
    <w:rsid w:val="0042206F"/>
    <w:rsid w:val="0042214B"/>
    <w:rsid w:val="004221F9"/>
    <w:rsid w:val="00422240"/>
    <w:rsid w:val="0042240B"/>
    <w:rsid w:val="0042244E"/>
    <w:rsid w:val="004224B3"/>
    <w:rsid w:val="004224FB"/>
    <w:rsid w:val="00422825"/>
    <w:rsid w:val="00422D38"/>
    <w:rsid w:val="004230D4"/>
    <w:rsid w:val="004233A5"/>
    <w:rsid w:val="00423531"/>
    <w:rsid w:val="0042366D"/>
    <w:rsid w:val="0042370E"/>
    <w:rsid w:val="004238D0"/>
    <w:rsid w:val="004239DA"/>
    <w:rsid w:val="00423B0A"/>
    <w:rsid w:val="00423BF2"/>
    <w:rsid w:val="00423CD2"/>
    <w:rsid w:val="00423EB4"/>
    <w:rsid w:val="00424213"/>
    <w:rsid w:val="0042467F"/>
    <w:rsid w:val="00424694"/>
    <w:rsid w:val="0042492F"/>
    <w:rsid w:val="00424B6D"/>
    <w:rsid w:val="004250D6"/>
    <w:rsid w:val="004251C2"/>
    <w:rsid w:val="004251ED"/>
    <w:rsid w:val="00425339"/>
    <w:rsid w:val="00425364"/>
    <w:rsid w:val="00425429"/>
    <w:rsid w:val="004254C5"/>
    <w:rsid w:val="00425579"/>
    <w:rsid w:val="00425AF2"/>
    <w:rsid w:val="00425B1B"/>
    <w:rsid w:val="00425FBB"/>
    <w:rsid w:val="00426322"/>
    <w:rsid w:val="00426380"/>
    <w:rsid w:val="00426403"/>
    <w:rsid w:val="00426474"/>
    <w:rsid w:val="0042694A"/>
    <w:rsid w:val="00426A3B"/>
    <w:rsid w:val="00426AA0"/>
    <w:rsid w:val="00426C8D"/>
    <w:rsid w:val="0042713A"/>
    <w:rsid w:val="004273D2"/>
    <w:rsid w:val="004275FE"/>
    <w:rsid w:val="004276B6"/>
    <w:rsid w:val="004276E0"/>
    <w:rsid w:val="00427747"/>
    <w:rsid w:val="0042776B"/>
    <w:rsid w:val="00427785"/>
    <w:rsid w:val="00427AA1"/>
    <w:rsid w:val="00427C3E"/>
    <w:rsid w:val="00427F56"/>
    <w:rsid w:val="00427F90"/>
    <w:rsid w:val="00430133"/>
    <w:rsid w:val="0043076D"/>
    <w:rsid w:val="00430881"/>
    <w:rsid w:val="00430998"/>
    <w:rsid w:val="004309D4"/>
    <w:rsid w:val="00430AD8"/>
    <w:rsid w:val="00430EE4"/>
    <w:rsid w:val="0043100F"/>
    <w:rsid w:val="004311A6"/>
    <w:rsid w:val="004311F8"/>
    <w:rsid w:val="0043132B"/>
    <w:rsid w:val="004315ED"/>
    <w:rsid w:val="00431608"/>
    <w:rsid w:val="0043172F"/>
    <w:rsid w:val="00431836"/>
    <w:rsid w:val="00431E34"/>
    <w:rsid w:val="00431F7B"/>
    <w:rsid w:val="00432330"/>
    <w:rsid w:val="004326DE"/>
    <w:rsid w:val="00432817"/>
    <w:rsid w:val="00432C2E"/>
    <w:rsid w:val="00432DDA"/>
    <w:rsid w:val="00432F27"/>
    <w:rsid w:val="0043309E"/>
    <w:rsid w:val="00433123"/>
    <w:rsid w:val="00433231"/>
    <w:rsid w:val="00433626"/>
    <w:rsid w:val="004336FB"/>
    <w:rsid w:val="00433761"/>
    <w:rsid w:val="00433AD1"/>
    <w:rsid w:val="00433BB9"/>
    <w:rsid w:val="00433C65"/>
    <w:rsid w:val="00433CAC"/>
    <w:rsid w:val="004342C2"/>
    <w:rsid w:val="0043447A"/>
    <w:rsid w:val="00434699"/>
    <w:rsid w:val="00434763"/>
    <w:rsid w:val="0043487E"/>
    <w:rsid w:val="004348E0"/>
    <w:rsid w:val="00434B1F"/>
    <w:rsid w:val="00434B44"/>
    <w:rsid w:val="00434B8B"/>
    <w:rsid w:val="00434BA9"/>
    <w:rsid w:val="00434BDB"/>
    <w:rsid w:val="00434BFB"/>
    <w:rsid w:val="00434DD0"/>
    <w:rsid w:val="00434F8A"/>
    <w:rsid w:val="004350DC"/>
    <w:rsid w:val="0043517D"/>
    <w:rsid w:val="004351FB"/>
    <w:rsid w:val="00435409"/>
    <w:rsid w:val="004354BC"/>
    <w:rsid w:val="004356C8"/>
    <w:rsid w:val="00435825"/>
    <w:rsid w:val="0043589E"/>
    <w:rsid w:val="00436101"/>
    <w:rsid w:val="004365B7"/>
    <w:rsid w:val="004365E4"/>
    <w:rsid w:val="00436677"/>
    <w:rsid w:val="004367C2"/>
    <w:rsid w:val="0043689B"/>
    <w:rsid w:val="00436A82"/>
    <w:rsid w:val="00436E00"/>
    <w:rsid w:val="0043704C"/>
    <w:rsid w:val="00437108"/>
    <w:rsid w:val="004371D9"/>
    <w:rsid w:val="0043733F"/>
    <w:rsid w:val="004373B2"/>
    <w:rsid w:val="004373CC"/>
    <w:rsid w:val="0043740B"/>
    <w:rsid w:val="004378B3"/>
    <w:rsid w:val="00437A67"/>
    <w:rsid w:val="00437CE7"/>
    <w:rsid w:val="00437D09"/>
    <w:rsid w:val="00437E32"/>
    <w:rsid w:val="00437FBA"/>
    <w:rsid w:val="004400E5"/>
    <w:rsid w:val="004400F0"/>
    <w:rsid w:val="004409B6"/>
    <w:rsid w:val="00440B63"/>
    <w:rsid w:val="00440CDB"/>
    <w:rsid w:val="00440D88"/>
    <w:rsid w:val="00440F7B"/>
    <w:rsid w:val="004410FE"/>
    <w:rsid w:val="00441282"/>
    <w:rsid w:val="00441564"/>
    <w:rsid w:val="004418DA"/>
    <w:rsid w:val="00441C2D"/>
    <w:rsid w:val="00441D6F"/>
    <w:rsid w:val="00441E22"/>
    <w:rsid w:val="00441EE6"/>
    <w:rsid w:val="0044214E"/>
    <w:rsid w:val="0044262F"/>
    <w:rsid w:val="004426E8"/>
    <w:rsid w:val="00442B6B"/>
    <w:rsid w:val="00442D96"/>
    <w:rsid w:val="00442E46"/>
    <w:rsid w:val="00442FAF"/>
    <w:rsid w:val="00443348"/>
    <w:rsid w:val="004433B6"/>
    <w:rsid w:val="00443465"/>
    <w:rsid w:val="004434BA"/>
    <w:rsid w:val="004435D8"/>
    <w:rsid w:val="0044360F"/>
    <w:rsid w:val="004438C3"/>
    <w:rsid w:val="004439E1"/>
    <w:rsid w:val="00443A4F"/>
    <w:rsid w:val="00443ABD"/>
    <w:rsid w:val="00443B04"/>
    <w:rsid w:val="00443DAE"/>
    <w:rsid w:val="004440B1"/>
    <w:rsid w:val="0044438F"/>
    <w:rsid w:val="00444ACB"/>
    <w:rsid w:val="00445037"/>
    <w:rsid w:val="00445153"/>
    <w:rsid w:val="004452FD"/>
    <w:rsid w:val="004453A8"/>
    <w:rsid w:val="0044545D"/>
    <w:rsid w:val="004455D8"/>
    <w:rsid w:val="004456EC"/>
    <w:rsid w:val="004457CB"/>
    <w:rsid w:val="004458CC"/>
    <w:rsid w:val="00445B0B"/>
    <w:rsid w:val="00446149"/>
    <w:rsid w:val="00446257"/>
    <w:rsid w:val="00446499"/>
    <w:rsid w:val="00446582"/>
    <w:rsid w:val="004465A1"/>
    <w:rsid w:val="0044661A"/>
    <w:rsid w:val="0044665A"/>
    <w:rsid w:val="0044670F"/>
    <w:rsid w:val="00446721"/>
    <w:rsid w:val="00446AB0"/>
    <w:rsid w:val="00446BB5"/>
    <w:rsid w:val="00446C86"/>
    <w:rsid w:val="00446CE8"/>
    <w:rsid w:val="00446D33"/>
    <w:rsid w:val="00446D3E"/>
    <w:rsid w:val="00446D57"/>
    <w:rsid w:val="00446EFE"/>
    <w:rsid w:val="00447101"/>
    <w:rsid w:val="00447273"/>
    <w:rsid w:val="004473AE"/>
    <w:rsid w:val="004474FF"/>
    <w:rsid w:val="004476CF"/>
    <w:rsid w:val="0044789F"/>
    <w:rsid w:val="004478AB"/>
    <w:rsid w:val="00447A6A"/>
    <w:rsid w:val="00447CC6"/>
    <w:rsid w:val="00447E98"/>
    <w:rsid w:val="00450156"/>
    <w:rsid w:val="0045023D"/>
    <w:rsid w:val="0045028E"/>
    <w:rsid w:val="004502F0"/>
    <w:rsid w:val="004502F2"/>
    <w:rsid w:val="004505EA"/>
    <w:rsid w:val="00450657"/>
    <w:rsid w:val="004506CA"/>
    <w:rsid w:val="00450CFB"/>
    <w:rsid w:val="00450E7D"/>
    <w:rsid w:val="00450FC0"/>
    <w:rsid w:val="00450FEF"/>
    <w:rsid w:val="00451133"/>
    <w:rsid w:val="00451252"/>
    <w:rsid w:val="00451D51"/>
    <w:rsid w:val="004522D8"/>
    <w:rsid w:val="00452346"/>
    <w:rsid w:val="0045240B"/>
    <w:rsid w:val="00452552"/>
    <w:rsid w:val="00452566"/>
    <w:rsid w:val="00452689"/>
    <w:rsid w:val="004526C8"/>
    <w:rsid w:val="004526FB"/>
    <w:rsid w:val="0045281B"/>
    <w:rsid w:val="00452902"/>
    <w:rsid w:val="004529F9"/>
    <w:rsid w:val="00452E11"/>
    <w:rsid w:val="00452ED1"/>
    <w:rsid w:val="00452EF4"/>
    <w:rsid w:val="0045303E"/>
    <w:rsid w:val="00453052"/>
    <w:rsid w:val="004535CF"/>
    <w:rsid w:val="00453690"/>
    <w:rsid w:val="0045399A"/>
    <w:rsid w:val="00453AAC"/>
    <w:rsid w:val="00454314"/>
    <w:rsid w:val="0045431F"/>
    <w:rsid w:val="0045489A"/>
    <w:rsid w:val="004549EB"/>
    <w:rsid w:val="00454B03"/>
    <w:rsid w:val="00454E6A"/>
    <w:rsid w:val="00454F16"/>
    <w:rsid w:val="00454F2E"/>
    <w:rsid w:val="00454FE6"/>
    <w:rsid w:val="00455277"/>
    <w:rsid w:val="00455324"/>
    <w:rsid w:val="0045537D"/>
    <w:rsid w:val="00455516"/>
    <w:rsid w:val="004557C9"/>
    <w:rsid w:val="0045594C"/>
    <w:rsid w:val="00455956"/>
    <w:rsid w:val="004559ED"/>
    <w:rsid w:val="00455C6C"/>
    <w:rsid w:val="00455ED1"/>
    <w:rsid w:val="00455FBF"/>
    <w:rsid w:val="00455FE3"/>
    <w:rsid w:val="0045637B"/>
    <w:rsid w:val="00456491"/>
    <w:rsid w:val="004564EB"/>
    <w:rsid w:val="0045650F"/>
    <w:rsid w:val="004565D1"/>
    <w:rsid w:val="004568B4"/>
    <w:rsid w:val="00456B49"/>
    <w:rsid w:val="00456CDE"/>
    <w:rsid w:val="00456DA4"/>
    <w:rsid w:val="00456E25"/>
    <w:rsid w:val="00457015"/>
    <w:rsid w:val="004570C7"/>
    <w:rsid w:val="00457259"/>
    <w:rsid w:val="0045732D"/>
    <w:rsid w:val="00457371"/>
    <w:rsid w:val="00457495"/>
    <w:rsid w:val="004575C6"/>
    <w:rsid w:val="0045771C"/>
    <w:rsid w:val="00457795"/>
    <w:rsid w:val="004578A4"/>
    <w:rsid w:val="00457914"/>
    <w:rsid w:val="00460014"/>
    <w:rsid w:val="00460065"/>
    <w:rsid w:val="0046007D"/>
    <w:rsid w:val="004603FA"/>
    <w:rsid w:val="004605B8"/>
    <w:rsid w:val="004607F1"/>
    <w:rsid w:val="004609BA"/>
    <w:rsid w:val="00460A34"/>
    <w:rsid w:val="00460CBF"/>
    <w:rsid w:val="00460D0F"/>
    <w:rsid w:val="004611AF"/>
    <w:rsid w:val="00461207"/>
    <w:rsid w:val="0046125B"/>
    <w:rsid w:val="004615B7"/>
    <w:rsid w:val="00461CAC"/>
    <w:rsid w:val="00461E88"/>
    <w:rsid w:val="00461E9A"/>
    <w:rsid w:val="00461F10"/>
    <w:rsid w:val="00462055"/>
    <w:rsid w:val="004621BB"/>
    <w:rsid w:val="00462224"/>
    <w:rsid w:val="00462294"/>
    <w:rsid w:val="004625EB"/>
    <w:rsid w:val="004626F9"/>
    <w:rsid w:val="0046277A"/>
    <w:rsid w:val="00462823"/>
    <w:rsid w:val="00462B00"/>
    <w:rsid w:val="00462C83"/>
    <w:rsid w:val="00462E5B"/>
    <w:rsid w:val="00462EDA"/>
    <w:rsid w:val="0046304F"/>
    <w:rsid w:val="00463164"/>
    <w:rsid w:val="00463295"/>
    <w:rsid w:val="004632C6"/>
    <w:rsid w:val="004633EF"/>
    <w:rsid w:val="00463444"/>
    <w:rsid w:val="00463455"/>
    <w:rsid w:val="004636AB"/>
    <w:rsid w:val="00463A1E"/>
    <w:rsid w:val="00463B0C"/>
    <w:rsid w:val="00463EBA"/>
    <w:rsid w:val="004641C0"/>
    <w:rsid w:val="0046428C"/>
    <w:rsid w:val="0046438F"/>
    <w:rsid w:val="00464705"/>
    <w:rsid w:val="00464AED"/>
    <w:rsid w:val="00464BFB"/>
    <w:rsid w:val="00464F6A"/>
    <w:rsid w:val="0046523D"/>
    <w:rsid w:val="0046553B"/>
    <w:rsid w:val="004655C2"/>
    <w:rsid w:val="00465756"/>
    <w:rsid w:val="004658DF"/>
    <w:rsid w:val="00465927"/>
    <w:rsid w:val="00465996"/>
    <w:rsid w:val="00465B25"/>
    <w:rsid w:val="00465C65"/>
    <w:rsid w:val="00465E98"/>
    <w:rsid w:val="004660CA"/>
    <w:rsid w:val="004667CE"/>
    <w:rsid w:val="004672AE"/>
    <w:rsid w:val="00467606"/>
    <w:rsid w:val="0046762B"/>
    <w:rsid w:val="00467646"/>
    <w:rsid w:val="0046796A"/>
    <w:rsid w:val="00467C6E"/>
    <w:rsid w:val="00467D82"/>
    <w:rsid w:val="00467E50"/>
    <w:rsid w:val="00467F8B"/>
    <w:rsid w:val="00470027"/>
    <w:rsid w:val="004703C9"/>
    <w:rsid w:val="00470407"/>
    <w:rsid w:val="004708D2"/>
    <w:rsid w:val="004708D5"/>
    <w:rsid w:val="004709E7"/>
    <w:rsid w:val="00470A0F"/>
    <w:rsid w:val="00470CE7"/>
    <w:rsid w:val="0047104E"/>
    <w:rsid w:val="004711BD"/>
    <w:rsid w:val="0047133E"/>
    <w:rsid w:val="00471A5D"/>
    <w:rsid w:val="00471D6B"/>
    <w:rsid w:val="0047210C"/>
    <w:rsid w:val="004721A6"/>
    <w:rsid w:val="004722D1"/>
    <w:rsid w:val="00472321"/>
    <w:rsid w:val="004729C4"/>
    <w:rsid w:val="00472AF5"/>
    <w:rsid w:val="00472C62"/>
    <w:rsid w:val="00472CF4"/>
    <w:rsid w:val="00472CFC"/>
    <w:rsid w:val="004730F1"/>
    <w:rsid w:val="0047335A"/>
    <w:rsid w:val="0047356C"/>
    <w:rsid w:val="004735D3"/>
    <w:rsid w:val="00473789"/>
    <w:rsid w:val="004739D5"/>
    <w:rsid w:val="00473A53"/>
    <w:rsid w:val="00473AA8"/>
    <w:rsid w:val="00473B6D"/>
    <w:rsid w:val="00473BDC"/>
    <w:rsid w:val="004742A2"/>
    <w:rsid w:val="004742E3"/>
    <w:rsid w:val="0047442E"/>
    <w:rsid w:val="0047462F"/>
    <w:rsid w:val="004746F3"/>
    <w:rsid w:val="00474833"/>
    <w:rsid w:val="004749BD"/>
    <w:rsid w:val="004749E8"/>
    <w:rsid w:val="00474A0A"/>
    <w:rsid w:val="00474DE3"/>
    <w:rsid w:val="00474E26"/>
    <w:rsid w:val="00474EB6"/>
    <w:rsid w:val="00474FA4"/>
    <w:rsid w:val="00474FE9"/>
    <w:rsid w:val="00475123"/>
    <w:rsid w:val="00475280"/>
    <w:rsid w:val="004754FE"/>
    <w:rsid w:val="00475853"/>
    <w:rsid w:val="00475950"/>
    <w:rsid w:val="00475A41"/>
    <w:rsid w:val="00475A7F"/>
    <w:rsid w:val="00475EFD"/>
    <w:rsid w:val="00476158"/>
    <w:rsid w:val="00476363"/>
    <w:rsid w:val="004765BC"/>
    <w:rsid w:val="00476643"/>
    <w:rsid w:val="00476644"/>
    <w:rsid w:val="004766CC"/>
    <w:rsid w:val="004766FB"/>
    <w:rsid w:val="004769C4"/>
    <w:rsid w:val="00476A05"/>
    <w:rsid w:val="00476A0C"/>
    <w:rsid w:val="00476A4B"/>
    <w:rsid w:val="00476F2B"/>
    <w:rsid w:val="00476FD6"/>
    <w:rsid w:val="0047705A"/>
    <w:rsid w:val="00477099"/>
    <w:rsid w:val="00477314"/>
    <w:rsid w:val="0047735E"/>
    <w:rsid w:val="0047764E"/>
    <w:rsid w:val="004778DF"/>
    <w:rsid w:val="00477AB0"/>
    <w:rsid w:val="00477B79"/>
    <w:rsid w:val="00477E86"/>
    <w:rsid w:val="00477E91"/>
    <w:rsid w:val="004801D0"/>
    <w:rsid w:val="0048051A"/>
    <w:rsid w:val="00480723"/>
    <w:rsid w:val="00480CA2"/>
    <w:rsid w:val="004810F1"/>
    <w:rsid w:val="00481677"/>
    <w:rsid w:val="00481A99"/>
    <w:rsid w:val="00481D10"/>
    <w:rsid w:val="00481E98"/>
    <w:rsid w:val="004821BA"/>
    <w:rsid w:val="004822CD"/>
    <w:rsid w:val="004823C0"/>
    <w:rsid w:val="004824A8"/>
    <w:rsid w:val="0048277C"/>
    <w:rsid w:val="00482878"/>
    <w:rsid w:val="0048293C"/>
    <w:rsid w:val="00482B66"/>
    <w:rsid w:val="00482B7B"/>
    <w:rsid w:val="004830BA"/>
    <w:rsid w:val="00483157"/>
    <w:rsid w:val="004833BD"/>
    <w:rsid w:val="004837CC"/>
    <w:rsid w:val="00483801"/>
    <w:rsid w:val="00483CD5"/>
    <w:rsid w:val="00483D72"/>
    <w:rsid w:val="00483DB7"/>
    <w:rsid w:val="00484071"/>
    <w:rsid w:val="0048412D"/>
    <w:rsid w:val="00484470"/>
    <w:rsid w:val="00484761"/>
    <w:rsid w:val="00484C5B"/>
    <w:rsid w:val="00484D25"/>
    <w:rsid w:val="00484E01"/>
    <w:rsid w:val="00484EDB"/>
    <w:rsid w:val="00484F6B"/>
    <w:rsid w:val="00484FE2"/>
    <w:rsid w:val="004850D2"/>
    <w:rsid w:val="00485180"/>
    <w:rsid w:val="0048518D"/>
    <w:rsid w:val="00485215"/>
    <w:rsid w:val="00485306"/>
    <w:rsid w:val="0048532C"/>
    <w:rsid w:val="00485493"/>
    <w:rsid w:val="004855C3"/>
    <w:rsid w:val="004855DB"/>
    <w:rsid w:val="004857F1"/>
    <w:rsid w:val="004858E2"/>
    <w:rsid w:val="00485B95"/>
    <w:rsid w:val="00485C00"/>
    <w:rsid w:val="00485C86"/>
    <w:rsid w:val="004862F6"/>
    <w:rsid w:val="004864BE"/>
    <w:rsid w:val="0048671D"/>
    <w:rsid w:val="00486CB9"/>
    <w:rsid w:val="00486DE6"/>
    <w:rsid w:val="00486DEF"/>
    <w:rsid w:val="00486EF8"/>
    <w:rsid w:val="00487299"/>
    <w:rsid w:val="004877A7"/>
    <w:rsid w:val="004878C1"/>
    <w:rsid w:val="00487A1F"/>
    <w:rsid w:val="00487CDD"/>
    <w:rsid w:val="00487EA9"/>
    <w:rsid w:val="00487EF5"/>
    <w:rsid w:val="0049015D"/>
    <w:rsid w:val="00490457"/>
    <w:rsid w:val="0049054F"/>
    <w:rsid w:val="00490B9D"/>
    <w:rsid w:val="00490E2C"/>
    <w:rsid w:val="00490EC2"/>
    <w:rsid w:val="004911AB"/>
    <w:rsid w:val="00491207"/>
    <w:rsid w:val="004913C6"/>
    <w:rsid w:val="00491604"/>
    <w:rsid w:val="004917FE"/>
    <w:rsid w:val="00491A17"/>
    <w:rsid w:val="00491D37"/>
    <w:rsid w:val="00491ED1"/>
    <w:rsid w:val="0049202F"/>
    <w:rsid w:val="004921D0"/>
    <w:rsid w:val="00492718"/>
    <w:rsid w:val="004927F6"/>
    <w:rsid w:val="00492811"/>
    <w:rsid w:val="00492BFD"/>
    <w:rsid w:val="00492DC0"/>
    <w:rsid w:val="00492DDD"/>
    <w:rsid w:val="00492E3A"/>
    <w:rsid w:val="00493170"/>
    <w:rsid w:val="0049321F"/>
    <w:rsid w:val="004932A1"/>
    <w:rsid w:val="004933AA"/>
    <w:rsid w:val="0049342F"/>
    <w:rsid w:val="00493513"/>
    <w:rsid w:val="004937E1"/>
    <w:rsid w:val="0049384D"/>
    <w:rsid w:val="00493C78"/>
    <w:rsid w:val="00493D50"/>
    <w:rsid w:val="00493E1B"/>
    <w:rsid w:val="00493F54"/>
    <w:rsid w:val="00493F5B"/>
    <w:rsid w:val="00494213"/>
    <w:rsid w:val="004942BF"/>
    <w:rsid w:val="00494AAB"/>
    <w:rsid w:val="00494D74"/>
    <w:rsid w:val="0049501D"/>
    <w:rsid w:val="0049514B"/>
    <w:rsid w:val="0049550D"/>
    <w:rsid w:val="0049551C"/>
    <w:rsid w:val="0049564E"/>
    <w:rsid w:val="004958B0"/>
    <w:rsid w:val="004958F8"/>
    <w:rsid w:val="0049593E"/>
    <w:rsid w:val="004959AA"/>
    <w:rsid w:val="004959C7"/>
    <w:rsid w:val="00495DC8"/>
    <w:rsid w:val="00495E6A"/>
    <w:rsid w:val="00496028"/>
    <w:rsid w:val="0049627B"/>
    <w:rsid w:val="0049637E"/>
    <w:rsid w:val="004965E1"/>
    <w:rsid w:val="004966AF"/>
    <w:rsid w:val="004966FF"/>
    <w:rsid w:val="0049684A"/>
    <w:rsid w:val="00496C2B"/>
    <w:rsid w:val="00496CD5"/>
    <w:rsid w:val="00496F3D"/>
    <w:rsid w:val="00496F83"/>
    <w:rsid w:val="00497702"/>
    <w:rsid w:val="004978A8"/>
    <w:rsid w:val="00497915"/>
    <w:rsid w:val="00497968"/>
    <w:rsid w:val="0049798C"/>
    <w:rsid w:val="0049798F"/>
    <w:rsid w:val="00497CCE"/>
    <w:rsid w:val="00497ECF"/>
    <w:rsid w:val="00497F87"/>
    <w:rsid w:val="004A007B"/>
    <w:rsid w:val="004A0398"/>
    <w:rsid w:val="004A039B"/>
    <w:rsid w:val="004A03DD"/>
    <w:rsid w:val="004A04C0"/>
    <w:rsid w:val="004A0AD1"/>
    <w:rsid w:val="004A0B1A"/>
    <w:rsid w:val="004A0C15"/>
    <w:rsid w:val="004A0D63"/>
    <w:rsid w:val="004A0DAE"/>
    <w:rsid w:val="004A0DB5"/>
    <w:rsid w:val="004A0DDA"/>
    <w:rsid w:val="004A10ED"/>
    <w:rsid w:val="004A12C3"/>
    <w:rsid w:val="004A145E"/>
    <w:rsid w:val="004A14B2"/>
    <w:rsid w:val="004A16F3"/>
    <w:rsid w:val="004A1A06"/>
    <w:rsid w:val="004A223F"/>
    <w:rsid w:val="004A22D0"/>
    <w:rsid w:val="004A2436"/>
    <w:rsid w:val="004A2456"/>
    <w:rsid w:val="004A270C"/>
    <w:rsid w:val="004A2894"/>
    <w:rsid w:val="004A292F"/>
    <w:rsid w:val="004A2CFE"/>
    <w:rsid w:val="004A324D"/>
    <w:rsid w:val="004A3291"/>
    <w:rsid w:val="004A3325"/>
    <w:rsid w:val="004A348C"/>
    <w:rsid w:val="004A3628"/>
    <w:rsid w:val="004A365E"/>
    <w:rsid w:val="004A398E"/>
    <w:rsid w:val="004A39BB"/>
    <w:rsid w:val="004A3B4F"/>
    <w:rsid w:val="004A400F"/>
    <w:rsid w:val="004A4171"/>
    <w:rsid w:val="004A41BC"/>
    <w:rsid w:val="004A41DF"/>
    <w:rsid w:val="004A4437"/>
    <w:rsid w:val="004A447C"/>
    <w:rsid w:val="004A47F4"/>
    <w:rsid w:val="004A48D0"/>
    <w:rsid w:val="004A49BF"/>
    <w:rsid w:val="004A4C1E"/>
    <w:rsid w:val="004A502C"/>
    <w:rsid w:val="004A523C"/>
    <w:rsid w:val="004A53BB"/>
    <w:rsid w:val="004A5590"/>
    <w:rsid w:val="004A5861"/>
    <w:rsid w:val="004A5CE8"/>
    <w:rsid w:val="004A5EA0"/>
    <w:rsid w:val="004A5EDD"/>
    <w:rsid w:val="004A5F06"/>
    <w:rsid w:val="004A605F"/>
    <w:rsid w:val="004A6120"/>
    <w:rsid w:val="004A61B8"/>
    <w:rsid w:val="004A61DD"/>
    <w:rsid w:val="004A6354"/>
    <w:rsid w:val="004A6676"/>
    <w:rsid w:val="004A681B"/>
    <w:rsid w:val="004A68F0"/>
    <w:rsid w:val="004A69DF"/>
    <w:rsid w:val="004A69E4"/>
    <w:rsid w:val="004A6B63"/>
    <w:rsid w:val="004A6BA2"/>
    <w:rsid w:val="004A6BF4"/>
    <w:rsid w:val="004A6E33"/>
    <w:rsid w:val="004A70A8"/>
    <w:rsid w:val="004A73C6"/>
    <w:rsid w:val="004A7420"/>
    <w:rsid w:val="004A7573"/>
    <w:rsid w:val="004A7618"/>
    <w:rsid w:val="004A7653"/>
    <w:rsid w:val="004A76D9"/>
    <w:rsid w:val="004A78C0"/>
    <w:rsid w:val="004A7D17"/>
    <w:rsid w:val="004A7DAD"/>
    <w:rsid w:val="004A7E74"/>
    <w:rsid w:val="004A7F46"/>
    <w:rsid w:val="004B01FD"/>
    <w:rsid w:val="004B0307"/>
    <w:rsid w:val="004B03F3"/>
    <w:rsid w:val="004B04A5"/>
    <w:rsid w:val="004B052A"/>
    <w:rsid w:val="004B0AFC"/>
    <w:rsid w:val="004B0B1B"/>
    <w:rsid w:val="004B0BA0"/>
    <w:rsid w:val="004B0BAA"/>
    <w:rsid w:val="004B0C4E"/>
    <w:rsid w:val="004B0F09"/>
    <w:rsid w:val="004B0F71"/>
    <w:rsid w:val="004B1062"/>
    <w:rsid w:val="004B109A"/>
    <w:rsid w:val="004B12DB"/>
    <w:rsid w:val="004B13BE"/>
    <w:rsid w:val="004B13ED"/>
    <w:rsid w:val="004B1413"/>
    <w:rsid w:val="004B14FB"/>
    <w:rsid w:val="004B1843"/>
    <w:rsid w:val="004B1C8C"/>
    <w:rsid w:val="004B1D8D"/>
    <w:rsid w:val="004B1DF5"/>
    <w:rsid w:val="004B20A7"/>
    <w:rsid w:val="004B2109"/>
    <w:rsid w:val="004B23F1"/>
    <w:rsid w:val="004B242D"/>
    <w:rsid w:val="004B2484"/>
    <w:rsid w:val="004B2729"/>
    <w:rsid w:val="004B2A8C"/>
    <w:rsid w:val="004B2AE4"/>
    <w:rsid w:val="004B2E62"/>
    <w:rsid w:val="004B2E91"/>
    <w:rsid w:val="004B2EE8"/>
    <w:rsid w:val="004B3042"/>
    <w:rsid w:val="004B3285"/>
    <w:rsid w:val="004B35A7"/>
    <w:rsid w:val="004B367F"/>
    <w:rsid w:val="004B37CF"/>
    <w:rsid w:val="004B3ADD"/>
    <w:rsid w:val="004B3BC3"/>
    <w:rsid w:val="004B3C8D"/>
    <w:rsid w:val="004B3D0C"/>
    <w:rsid w:val="004B3EDB"/>
    <w:rsid w:val="004B42DB"/>
    <w:rsid w:val="004B442C"/>
    <w:rsid w:val="004B457A"/>
    <w:rsid w:val="004B4650"/>
    <w:rsid w:val="004B4951"/>
    <w:rsid w:val="004B4C8A"/>
    <w:rsid w:val="004B4CFE"/>
    <w:rsid w:val="004B4D7E"/>
    <w:rsid w:val="004B4E5B"/>
    <w:rsid w:val="004B4ED9"/>
    <w:rsid w:val="004B4FD1"/>
    <w:rsid w:val="004B513C"/>
    <w:rsid w:val="004B5224"/>
    <w:rsid w:val="004B532F"/>
    <w:rsid w:val="004B53C0"/>
    <w:rsid w:val="004B53E5"/>
    <w:rsid w:val="004B5444"/>
    <w:rsid w:val="004B5481"/>
    <w:rsid w:val="004B550A"/>
    <w:rsid w:val="004B55F3"/>
    <w:rsid w:val="004B5747"/>
    <w:rsid w:val="004B57CA"/>
    <w:rsid w:val="004B5B1A"/>
    <w:rsid w:val="004B5D39"/>
    <w:rsid w:val="004B5DDD"/>
    <w:rsid w:val="004B5F3D"/>
    <w:rsid w:val="004B62CE"/>
    <w:rsid w:val="004B647E"/>
    <w:rsid w:val="004B6494"/>
    <w:rsid w:val="004B64B4"/>
    <w:rsid w:val="004B658D"/>
    <w:rsid w:val="004B6593"/>
    <w:rsid w:val="004B6612"/>
    <w:rsid w:val="004B68C6"/>
    <w:rsid w:val="004B68DB"/>
    <w:rsid w:val="004B6A6F"/>
    <w:rsid w:val="004B6BFB"/>
    <w:rsid w:val="004B6D17"/>
    <w:rsid w:val="004B6D31"/>
    <w:rsid w:val="004B6E0C"/>
    <w:rsid w:val="004B6E4A"/>
    <w:rsid w:val="004B6EB6"/>
    <w:rsid w:val="004B720E"/>
    <w:rsid w:val="004B7591"/>
    <w:rsid w:val="004B780F"/>
    <w:rsid w:val="004B7862"/>
    <w:rsid w:val="004B78C5"/>
    <w:rsid w:val="004B7DD1"/>
    <w:rsid w:val="004B7E43"/>
    <w:rsid w:val="004C0055"/>
    <w:rsid w:val="004C011C"/>
    <w:rsid w:val="004C03FF"/>
    <w:rsid w:val="004C0739"/>
    <w:rsid w:val="004C095D"/>
    <w:rsid w:val="004C0978"/>
    <w:rsid w:val="004C09F8"/>
    <w:rsid w:val="004C0CD9"/>
    <w:rsid w:val="004C0D37"/>
    <w:rsid w:val="004C0E22"/>
    <w:rsid w:val="004C0EB1"/>
    <w:rsid w:val="004C128C"/>
    <w:rsid w:val="004C13CC"/>
    <w:rsid w:val="004C14FE"/>
    <w:rsid w:val="004C1642"/>
    <w:rsid w:val="004C17C4"/>
    <w:rsid w:val="004C1A5A"/>
    <w:rsid w:val="004C1ADB"/>
    <w:rsid w:val="004C2179"/>
    <w:rsid w:val="004C21F4"/>
    <w:rsid w:val="004C2354"/>
    <w:rsid w:val="004C249C"/>
    <w:rsid w:val="004C2656"/>
    <w:rsid w:val="004C2A31"/>
    <w:rsid w:val="004C2AD7"/>
    <w:rsid w:val="004C2C6E"/>
    <w:rsid w:val="004C2D06"/>
    <w:rsid w:val="004C2E25"/>
    <w:rsid w:val="004C2E34"/>
    <w:rsid w:val="004C30BA"/>
    <w:rsid w:val="004C310E"/>
    <w:rsid w:val="004C3165"/>
    <w:rsid w:val="004C3183"/>
    <w:rsid w:val="004C3683"/>
    <w:rsid w:val="004C382F"/>
    <w:rsid w:val="004C402A"/>
    <w:rsid w:val="004C40DC"/>
    <w:rsid w:val="004C43AA"/>
    <w:rsid w:val="004C44C7"/>
    <w:rsid w:val="004C4584"/>
    <w:rsid w:val="004C4B0B"/>
    <w:rsid w:val="004C4B75"/>
    <w:rsid w:val="004C4C06"/>
    <w:rsid w:val="004C4CB0"/>
    <w:rsid w:val="004C4CCA"/>
    <w:rsid w:val="004C4DD6"/>
    <w:rsid w:val="004C50C3"/>
    <w:rsid w:val="004C50E5"/>
    <w:rsid w:val="004C510A"/>
    <w:rsid w:val="004C53ED"/>
    <w:rsid w:val="004C5447"/>
    <w:rsid w:val="004C555F"/>
    <w:rsid w:val="004C5612"/>
    <w:rsid w:val="004C56FD"/>
    <w:rsid w:val="004C5721"/>
    <w:rsid w:val="004C58E8"/>
    <w:rsid w:val="004C5A3E"/>
    <w:rsid w:val="004C5AA2"/>
    <w:rsid w:val="004C6258"/>
    <w:rsid w:val="004C642B"/>
    <w:rsid w:val="004C69FE"/>
    <w:rsid w:val="004C6B61"/>
    <w:rsid w:val="004C6BEC"/>
    <w:rsid w:val="004C6E96"/>
    <w:rsid w:val="004C727F"/>
    <w:rsid w:val="004C746C"/>
    <w:rsid w:val="004C76B6"/>
    <w:rsid w:val="004C775A"/>
    <w:rsid w:val="004C778C"/>
    <w:rsid w:val="004C779B"/>
    <w:rsid w:val="004C790C"/>
    <w:rsid w:val="004C797D"/>
    <w:rsid w:val="004C7B0C"/>
    <w:rsid w:val="004C7B45"/>
    <w:rsid w:val="004C7D1C"/>
    <w:rsid w:val="004C7DCC"/>
    <w:rsid w:val="004D02F3"/>
    <w:rsid w:val="004D03EC"/>
    <w:rsid w:val="004D048A"/>
    <w:rsid w:val="004D04C0"/>
    <w:rsid w:val="004D0614"/>
    <w:rsid w:val="004D0643"/>
    <w:rsid w:val="004D0944"/>
    <w:rsid w:val="004D0B1F"/>
    <w:rsid w:val="004D0E46"/>
    <w:rsid w:val="004D0EC6"/>
    <w:rsid w:val="004D12B9"/>
    <w:rsid w:val="004D1367"/>
    <w:rsid w:val="004D13CF"/>
    <w:rsid w:val="004D150E"/>
    <w:rsid w:val="004D1542"/>
    <w:rsid w:val="004D16AC"/>
    <w:rsid w:val="004D1766"/>
    <w:rsid w:val="004D17C6"/>
    <w:rsid w:val="004D1BB1"/>
    <w:rsid w:val="004D1BD8"/>
    <w:rsid w:val="004D1C63"/>
    <w:rsid w:val="004D1DA3"/>
    <w:rsid w:val="004D1EEA"/>
    <w:rsid w:val="004D1F1F"/>
    <w:rsid w:val="004D22C5"/>
    <w:rsid w:val="004D2327"/>
    <w:rsid w:val="004D2449"/>
    <w:rsid w:val="004D26BB"/>
    <w:rsid w:val="004D27AD"/>
    <w:rsid w:val="004D2B7D"/>
    <w:rsid w:val="004D2D7F"/>
    <w:rsid w:val="004D2DEF"/>
    <w:rsid w:val="004D2EC2"/>
    <w:rsid w:val="004D3220"/>
    <w:rsid w:val="004D3280"/>
    <w:rsid w:val="004D33F1"/>
    <w:rsid w:val="004D3557"/>
    <w:rsid w:val="004D35B6"/>
    <w:rsid w:val="004D363F"/>
    <w:rsid w:val="004D3705"/>
    <w:rsid w:val="004D37D3"/>
    <w:rsid w:val="004D385D"/>
    <w:rsid w:val="004D3DBD"/>
    <w:rsid w:val="004D3FCA"/>
    <w:rsid w:val="004D40E4"/>
    <w:rsid w:val="004D4591"/>
    <w:rsid w:val="004D4788"/>
    <w:rsid w:val="004D4AD0"/>
    <w:rsid w:val="004D4BE4"/>
    <w:rsid w:val="004D5332"/>
    <w:rsid w:val="004D53E7"/>
    <w:rsid w:val="004D545B"/>
    <w:rsid w:val="004D553B"/>
    <w:rsid w:val="004D5968"/>
    <w:rsid w:val="004D5C51"/>
    <w:rsid w:val="004D5FF8"/>
    <w:rsid w:val="004D63B4"/>
    <w:rsid w:val="004D641E"/>
    <w:rsid w:val="004D65D8"/>
    <w:rsid w:val="004D66FC"/>
    <w:rsid w:val="004D67D2"/>
    <w:rsid w:val="004D6BC3"/>
    <w:rsid w:val="004D6CD6"/>
    <w:rsid w:val="004D6E42"/>
    <w:rsid w:val="004D6F81"/>
    <w:rsid w:val="004D7386"/>
    <w:rsid w:val="004D7750"/>
    <w:rsid w:val="004D79FB"/>
    <w:rsid w:val="004D7B62"/>
    <w:rsid w:val="004D7F84"/>
    <w:rsid w:val="004E02D2"/>
    <w:rsid w:val="004E07BB"/>
    <w:rsid w:val="004E0831"/>
    <w:rsid w:val="004E0904"/>
    <w:rsid w:val="004E0A9A"/>
    <w:rsid w:val="004E0ABD"/>
    <w:rsid w:val="004E0B0C"/>
    <w:rsid w:val="004E0E5F"/>
    <w:rsid w:val="004E0EA7"/>
    <w:rsid w:val="004E123F"/>
    <w:rsid w:val="004E1282"/>
    <w:rsid w:val="004E1332"/>
    <w:rsid w:val="004E169F"/>
    <w:rsid w:val="004E17BE"/>
    <w:rsid w:val="004E1A39"/>
    <w:rsid w:val="004E1C6F"/>
    <w:rsid w:val="004E1E94"/>
    <w:rsid w:val="004E200C"/>
    <w:rsid w:val="004E202E"/>
    <w:rsid w:val="004E21DC"/>
    <w:rsid w:val="004E21F9"/>
    <w:rsid w:val="004E2210"/>
    <w:rsid w:val="004E228F"/>
    <w:rsid w:val="004E2501"/>
    <w:rsid w:val="004E254D"/>
    <w:rsid w:val="004E26F4"/>
    <w:rsid w:val="004E2843"/>
    <w:rsid w:val="004E29F5"/>
    <w:rsid w:val="004E2CD7"/>
    <w:rsid w:val="004E2DDF"/>
    <w:rsid w:val="004E2E1F"/>
    <w:rsid w:val="004E3430"/>
    <w:rsid w:val="004E344F"/>
    <w:rsid w:val="004E34CC"/>
    <w:rsid w:val="004E36F9"/>
    <w:rsid w:val="004E375B"/>
    <w:rsid w:val="004E384F"/>
    <w:rsid w:val="004E3981"/>
    <w:rsid w:val="004E3C70"/>
    <w:rsid w:val="004E3DD0"/>
    <w:rsid w:val="004E3F54"/>
    <w:rsid w:val="004E402C"/>
    <w:rsid w:val="004E457B"/>
    <w:rsid w:val="004E467B"/>
    <w:rsid w:val="004E46A1"/>
    <w:rsid w:val="004E4859"/>
    <w:rsid w:val="004E49E9"/>
    <w:rsid w:val="004E4CDE"/>
    <w:rsid w:val="004E5841"/>
    <w:rsid w:val="004E59E3"/>
    <w:rsid w:val="004E5CDB"/>
    <w:rsid w:val="004E6269"/>
    <w:rsid w:val="004E6383"/>
    <w:rsid w:val="004E6475"/>
    <w:rsid w:val="004E66DA"/>
    <w:rsid w:val="004E680C"/>
    <w:rsid w:val="004E6869"/>
    <w:rsid w:val="004E6B10"/>
    <w:rsid w:val="004E6D0B"/>
    <w:rsid w:val="004E6DF9"/>
    <w:rsid w:val="004E6E8D"/>
    <w:rsid w:val="004E7114"/>
    <w:rsid w:val="004E7239"/>
    <w:rsid w:val="004E79AA"/>
    <w:rsid w:val="004E7A61"/>
    <w:rsid w:val="004E7B49"/>
    <w:rsid w:val="004E7DB8"/>
    <w:rsid w:val="004E7F72"/>
    <w:rsid w:val="004F000B"/>
    <w:rsid w:val="004F0114"/>
    <w:rsid w:val="004F01C7"/>
    <w:rsid w:val="004F02FE"/>
    <w:rsid w:val="004F0315"/>
    <w:rsid w:val="004F04F8"/>
    <w:rsid w:val="004F0520"/>
    <w:rsid w:val="004F053F"/>
    <w:rsid w:val="004F06E5"/>
    <w:rsid w:val="004F073A"/>
    <w:rsid w:val="004F07D9"/>
    <w:rsid w:val="004F0853"/>
    <w:rsid w:val="004F0950"/>
    <w:rsid w:val="004F0A2A"/>
    <w:rsid w:val="004F0CB7"/>
    <w:rsid w:val="004F0D27"/>
    <w:rsid w:val="004F0D83"/>
    <w:rsid w:val="004F0D8F"/>
    <w:rsid w:val="004F0E3D"/>
    <w:rsid w:val="004F1060"/>
    <w:rsid w:val="004F140D"/>
    <w:rsid w:val="004F1423"/>
    <w:rsid w:val="004F14C1"/>
    <w:rsid w:val="004F1644"/>
    <w:rsid w:val="004F19CA"/>
    <w:rsid w:val="004F1A52"/>
    <w:rsid w:val="004F2088"/>
    <w:rsid w:val="004F2197"/>
    <w:rsid w:val="004F232F"/>
    <w:rsid w:val="004F2763"/>
    <w:rsid w:val="004F2772"/>
    <w:rsid w:val="004F2A50"/>
    <w:rsid w:val="004F2ED2"/>
    <w:rsid w:val="004F3160"/>
    <w:rsid w:val="004F3177"/>
    <w:rsid w:val="004F31D9"/>
    <w:rsid w:val="004F328C"/>
    <w:rsid w:val="004F33A4"/>
    <w:rsid w:val="004F35A9"/>
    <w:rsid w:val="004F3A83"/>
    <w:rsid w:val="004F3CAD"/>
    <w:rsid w:val="004F3CFA"/>
    <w:rsid w:val="004F3D0C"/>
    <w:rsid w:val="004F3F66"/>
    <w:rsid w:val="004F418E"/>
    <w:rsid w:val="004F453A"/>
    <w:rsid w:val="004F4683"/>
    <w:rsid w:val="004F4730"/>
    <w:rsid w:val="004F48C3"/>
    <w:rsid w:val="004F4BBD"/>
    <w:rsid w:val="004F50B3"/>
    <w:rsid w:val="004F5276"/>
    <w:rsid w:val="004F536D"/>
    <w:rsid w:val="004F5378"/>
    <w:rsid w:val="004F53F8"/>
    <w:rsid w:val="004F5454"/>
    <w:rsid w:val="004F55A7"/>
    <w:rsid w:val="004F5813"/>
    <w:rsid w:val="004F5917"/>
    <w:rsid w:val="004F5A3C"/>
    <w:rsid w:val="004F5A57"/>
    <w:rsid w:val="004F5B51"/>
    <w:rsid w:val="004F5B95"/>
    <w:rsid w:val="004F5BAD"/>
    <w:rsid w:val="004F5C78"/>
    <w:rsid w:val="004F5D58"/>
    <w:rsid w:val="004F5F8A"/>
    <w:rsid w:val="004F5FBE"/>
    <w:rsid w:val="004F62F2"/>
    <w:rsid w:val="004F64F7"/>
    <w:rsid w:val="004F64FB"/>
    <w:rsid w:val="004F660B"/>
    <w:rsid w:val="004F6647"/>
    <w:rsid w:val="004F667E"/>
    <w:rsid w:val="004F6707"/>
    <w:rsid w:val="004F692A"/>
    <w:rsid w:val="004F6A19"/>
    <w:rsid w:val="004F6A7D"/>
    <w:rsid w:val="004F6BE0"/>
    <w:rsid w:val="004F6E1D"/>
    <w:rsid w:val="004F6EF2"/>
    <w:rsid w:val="004F6F85"/>
    <w:rsid w:val="004F7009"/>
    <w:rsid w:val="004F7106"/>
    <w:rsid w:val="004F71B2"/>
    <w:rsid w:val="004F7295"/>
    <w:rsid w:val="004F73D5"/>
    <w:rsid w:val="004F7581"/>
    <w:rsid w:val="004F791B"/>
    <w:rsid w:val="004F7A45"/>
    <w:rsid w:val="004F7DF7"/>
    <w:rsid w:val="004F7E40"/>
    <w:rsid w:val="00500061"/>
    <w:rsid w:val="00500094"/>
    <w:rsid w:val="005001F3"/>
    <w:rsid w:val="005001FC"/>
    <w:rsid w:val="00500314"/>
    <w:rsid w:val="005003AC"/>
    <w:rsid w:val="0050051A"/>
    <w:rsid w:val="005008D9"/>
    <w:rsid w:val="00500C4F"/>
    <w:rsid w:val="00500E47"/>
    <w:rsid w:val="005010F7"/>
    <w:rsid w:val="00501120"/>
    <w:rsid w:val="00501361"/>
    <w:rsid w:val="0050138D"/>
    <w:rsid w:val="00501454"/>
    <w:rsid w:val="00501493"/>
    <w:rsid w:val="005015D2"/>
    <w:rsid w:val="00501696"/>
    <w:rsid w:val="00501B36"/>
    <w:rsid w:val="00501B62"/>
    <w:rsid w:val="00501D20"/>
    <w:rsid w:val="00501EC7"/>
    <w:rsid w:val="00501ED7"/>
    <w:rsid w:val="0050201E"/>
    <w:rsid w:val="00502147"/>
    <w:rsid w:val="00502378"/>
    <w:rsid w:val="005024E4"/>
    <w:rsid w:val="00502590"/>
    <w:rsid w:val="00502D54"/>
    <w:rsid w:val="00502D8E"/>
    <w:rsid w:val="00502DA3"/>
    <w:rsid w:val="00502DC1"/>
    <w:rsid w:val="00502E11"/>
    <w:rsid w:val="0050320B"/>
    <w:rsid w:val="005033A2"/>
    <w:rsid w:val="005037FC"/>
    <w:rsid w:val="00504149"/>
    <w:rsid w:val="005041B3"/>
    <w:rsid w:val="00504203"/>
    <w:rsid w:val="00504227"/>
    <w:rsid w:val="005044EE"/>
    <w:rsid w:val="0050467F"/>
    <w:rsid w:val="00504807"/>
    <w:rsid w:val="005048F9"/>
    <w:rsid w:val="005049E0"/>
    <w:rsid w:val="00504B66"/>
    <w:rsid w:val="00504E57"/>
    <w:rsid w:val="00504EA2"/>
    <w:rsid w:val="00505248"/>
    <w:rsid w:val="005057A4"/>
    <w:rsid w:val="005057A5"/>
    <w:rsid w:val="005057D2"/>
    <w:rsid w:val="00505B91"/>
    <w:rsid w:val="00505D8C"/>
    <w:rsid w:val="00505ECA"/>
    <w:rsid w:val="00506059"/>
    <w:rsid w:val="005061E5"/>
    <w:rsid w:val="0050628E"/>
    <w:rsid w:val="0050634F"/>
    <w:rsid w:val="0050669D"/>
    <w:rsid w:val="005068D3"/>
    <w:rsid w:val="0050694B"/>
    <w:rsid w:val="00506A7E"/>
    <w:rsid w:val="00506B38"/>
    <w:rsid w:val="00506E0D"/>
    <w:rsid w:val="00506E84"/>
    <w:rsid w:val="00506EB6"/>
    <w:rsid w:val="00507050"/>
    <w:rsid w:val="00507690"/>
    <w:rsid w:val="0050785D"/>
    <w:rsid w:val="00507897"/>
    <w:rsid w:val="00507913"/>
    <w:rsid w:val="00507A88"/>
    <w:rsid w:val="00507C30"/>
    <w:rsid w:val="00507CE9"/>
    <w:rsid w:val="0051041E"/>
    <w:rsid w:val="00510635"/>
    <w:rsid w:val="005109A6"/>
    <w:rsid w:val="005109DD"/>
    <w:rsid w:val="00510A05"/>
    <w:rsid w:val="00510A10"/>
    <w:rsid w:val="00510BFB"/>
    <w:rsid w:val="00510DC6"/>
    <w:rsid w:val="00510EB7"/>
    <w:rsid w:val="005110B7"/>
    <w:rsid w:val="005114ED"/>
    <w:rsid w:val="00511564"/>
    <w:rsid w:val="00511589"/>
    <w:rsid w:val="00511781"/>
    <w:rsid w:val="005118A8"/>
    <w:rsid w:val="00511A2D"/>
    <w:rsid w:val="00511A76"/>
    <w:rsid w:val="00511AD0"/>
    <w:rsid w:val="00511B20"/>
    <w:rsid w:val="00511B43"/>
    <w:rsid w:val="00511B7F"/>
    <w:rsid w:val="00511BC6"/>
    <w:rsid w:val="00511F2C"/>
    <w:rsid w:val="0051216C"/>
    <w:rsid w:val="0051232A"/>
    <w:rsid w:val="00512351"/>
    <w:rsid w:val="00512353"/>
    <w:rsid w:val="00512354"/>
    <w:rsid w:val="00512634"/>
    <w:rsid w:val="00512847"/>
    <w:rsid w:val="00512BFF"/>
    <w:rsid w:val="00512C21"/>
    <w:rsid w:val="00512D4E"/>
    <w:rsid w:val="005133AC"/>
    <w:rsid w:val="00513589"/>
    <w:rsid w:val="005135C3"/>
    <w:rsid w:val="00513767"/>
    <w:rsid w:val="0051377A"/>
    <w:rsid w:val="005137A6"/>
    <w:rsid w:val="005137AF"/>
    <w:rsid w:val="00513BEC"/>
    <w:rsid w:val="00513C3D"/>
    <w:rsid w:val="0051412A"/>
    <w:rsid w:val="005141C2"/>
    <w:rsid w:val="005142DE"/>
    <w:rsid w:val="00514319"/>
    <w:rsid w:val="0051441E"/>
    <w:rsid w:val="00514892"/>
    <w:rsid w:val="00514AAD"/>
    <w:rsid w:val="00514F00"/>
    <w:rsid w:val="0051502A"/>
    <w:rsid w:val="005151B0"/>
    <w:rsid w:val="005153F3"/>
    <w:rsid w:val="00515407"/>
    <w:rsid w:val="005154F7"/>
    <w:rsid w:val="00515564"/>
    <w:rsid w:val="0051573C"/>
    <w:rsid w:val="005157EF"/>
    <w:rsid w:val="00515B70"/>
    <w:rsid w:val="00515C15"/>
    <w:rsid w:val="00515D03"/>
    <w:rsid w:val="00515D7B"/>
    <w:rsid w:val="00515DC6"/>
    <w:rsid w:val="00516658"/>
    <w:rsid w:val="0051667F"/>
    <w:rsid w:val="005166CF"/>
    <w:rsid w:val="005168CF"/>
    <w:rsid w:val="00516967"/>
    <w:rsid w:val="00516CB9"/>
    <w:rsid w:val="00516CEB"/>
    <w:rsid w:val="005171A7"/>
    <w:rsid w:val="0051727A"/>
    <w:rsid w:val="0051731A"/>
    <w:rsid w:val="00517540"/>
    <w:rsid w:val="00517759"/>
    <w:rsid w:val="00517788"/>
    <w:rsid w:val="00517CC7"/>
    <w:rsid w:val="00517F97"/>
    <w:rsid w:val="00520242"/>
    <w:rsid w:val="005202B4"/>
    <w:rsid w:val="00520355"/>
    <w:rsid w:val="00520673"/>
    <w:rsid w:val="005206D1"/>
    <w:rsid w:val="00520776"/>
    <w:rsid w:val="0052079C"/>
    <w:rsid w:val="0052087F"/>
    <w:rsid w:val="005208A9"/>
    <w:rsid w:val="00520B39"/>
    <w:rsid w:val="00520DAF"/>
    <w:rsid w:val="00520E4E"/>
    <w:rsid w:val="00521070"/>
    <w:rsid w:val="0052109E"/>
    <w:rsid w:val="00521193"/>
    <w:rsid w:val="005211B0"/>
    <w:rsid w:val="005214EC"/>
    <w:rsid w:val="005214FC"/>
    <w:rsid w:val="0052153A"/>
    <w:rsid w:val="005218E3"/>
    <w:rsid w:val="00521AF8"/>
    <w:rsid w:val="00521D6F"/>
    <w:rsid w:val="00522136"/>
    <w:rsid w:val="00522142"/>
    <w:rsid w:val="0052220B"/>
    <w:rsid w:val="0052228A"/>
    <w:rsid w:val="005224F3"/>
    <w:rsid w:val="00522530"/>
    <w:rsid w:val="00522556"/>
    <w:rsid w:val="00522AC5"/>
    <w:rsid w:val="00523009"/>
    <w:rsid w:val="0052330A"/>
    <w:rsid w:val="00523399"/>
    <w:rsid w:val="005233A3"/>
    <w:rsid w:val="005233BF"/>
    <w:rsid w:val="005235B3"/>
    <w:rsid w:val="00523863"/>
    <w:rsid w:val="005239D2"/>
    <w:rsid w:val="005239F2"/>
    <w:rsid w:val="00523A50"/>
    <w:rsid w:val="00523C06"/>
    <w:rsid w:val="00523C37"/>
    <w:rsid w:val="00523F4C"/>
    <w:rsid w:val="00523F8E"/>
    <w:rsid w:val="005240E8"/>
    <w:rsid w:val="00524313"/>
    <w:rsid w:val="00524496"/>
    <w:rsid w:val="0052451D"/>
    <w:rsid w:val="00524526"/>
    <w:rsid w:val="005248AC"/>
    <w:rsid w:val="005248BA"/>
    <w:rsid w:val="00524AAB"/>
    <w:rsid w:val="00524BBD"/>
    <w:rsid w:val="00524C17"/>
    <w:rsid w:val="00525211"/>
    <w:rsid w:val="0052544B"/>
    <w:rsid w:val="00525663"/>
    <w:rsid w:val="005256DF"/>
    <w:rsid w:val="0052597A"/>
    <w:rsid w:val="00525B09"/>
    <w:rsid w:val="00525D9F"/>
    <w:rsid w:val="00525DA8"/>
    <w:rsid w:val="005263E1"/>
    <w:rsid w:val="005266C1"/>
    <w:rsid w:val="005268E6"/>
    <w:rsid w:val="005268F1"/>
    <w:rsid w:val="00526CAD"/>
    <w:rsid w:val="00526E8B"/>
    <w:rsid w:val="00526EEC"/>
    <w:rsid w:val="005270E4"/>
    <w:rsid w:val="0052711F"/>
    <w:rsid w:val="00527146"/>
    <w:rsid w:val="00527346"/>
    <w:rsid w:val="00527446"/>
    <w:rsid w:val="00527583"/>
    <w:rsid w:val="00527CA6"/>
    <w:rsid w:val="00527D1A"/>
    <w:rsid w:val="00527D60"/>
    <w:rsid w:val="00527D77"/>
    <w:rsid w:val="0053035A"/>
    <w:rsid w:val="00530598"/>
    <w:rsid w:val="005306E0"/>
    <w:rsid w:val="00530B94"/>
    <w:rsid w:val="00531133"/>
    <w:rsid w:val="00531257"/>
    <w:rsid w:val="00531353"/>
    <w:rsid w:val="00531407"/>
    <w:rsid w:val="005314D6"/>
    <w:rsid w:val="00531539"/>
    <w:rsid w:val="0053164D"/>
    <w:rsid w:val="005317AD"/>
    <w:rsid w:val="00531930"/>
    <w:rsid w:val="00531956"/>
    <w:rsid w:val="00531A25"/>
    <w:rsid w:val="00531B06"/>
    <w:rsid w:val="00531B14"/>
    <w:rsid w:val="00531CDE"/>
    <w:rsid w:val="00531E30"/>
    <w:rsid w:val="00531F77"/>
    <w:rsid w:val="0053202C"/>
    <w:rsid w:val="00532244"/>
    <w:rsid w:val="0053226A"/>
    <w:rsid w:val="005324B4"/>
    <w:rsid w:val="00532798"/>
    <w:rsid w:val="005327C1"/>
    <w:rsid w:val="005328F9"/>
    <w:rsid w:val="0053291D"/>
    <w:rsid w:val="005329DD"/>
    <w:rsid w:val="00532B81"/>
    <w:rsid w:val="00532BED"/>
    <w:rsid w:val="00532D24"/>
    <w:rsid w:val="00532FB9"/>
    <w:rsid w:val="00533157"/>
    <w:rsid w:val="005331C1"/>
    <w:rsid w:val="0053332E"/>
    <w:rsid w:val="00533520"/>
    <w:rsid w:val="00533673"/>
    <w:rsid w:val="005337D4"/>
    <w:rsid w:val="00533927"/>
    <w:rsid w:val="00533B92"/>
    <w:rsid w:val="00533DFC"/>
    <w:rsid w:val="00533E1B"/>
    <w:rsid w:val="00533F61"/>
    <w:rsid w:val="00534164"/>
    <w:rsid w:val="005343A5"/>
    <w:rsid w:val="0053478A"/>
    <w:rsid w:val="005347DF"/>
    <w:rsid w:val="00534ACC"/>
    <w:rsid w:val="00534D44"/>
    <w:rsid w:val="00534DF1"/>
    <w:rsid w:val="00535032"/>
    <w:rsid w:val="005352CA"/>
    <w:rsid w:val="00535883"/>
    <w:rsid w:val="00535960"/>
    <w:rsid w:val="005359F4"/>
    <w:rsid w:val="00535A0A"/>
    <w:rsid w:val="00535AB3"/>
    <w:rsid w:val="00535B0C"/>
    <w:rsid w:val="00535B10"/>
    <w:rsid w:val="00535B98"/>
    <w:rsid w:val="00535CB9"/>
    <w:rsid w:val="00535E6F"/>
    <w:rsid w:val="00535EDC"/>
    <w:rsid w:val="00536175"/>
    <w:rsid w:val="0053621B"/>
    <w:rsid w:val="005362D2"/>
    <w:rsid w:val="0053653A"/>
    <w:rsid w:val="0053668D"/>
    <w:rsid w:val="00536D5B"/>
    <w:rsid w:val="00536D5F"/>
    <w:rsid w:val="00536F26"/>
    <w:rsid w:val="00537214"/>
    <w:rsid w:val="005373D6"/>
    <w:rsid w:val="0053749B"/>
    <w:rsid w:val="005374E5"/>
    <w:rsid w:val="0053764E"/>
    <w:rsid w:val="00537717"/>
    <w:rsid w:val="005377B0"/>
    <w:rsid w:val="00537A5C"/>
    <w:rsid w:val="00537AAE"/>
    <w:rsid w:val="00537AC4"/>
    <w:rsid w:val="00537BE9"/>
    <w:rsid w:val="00537C19"/>
    <w:rsid w:val="00537CE8"/>
    <w:rsid w:val="00537D45"/>
    <w:rsid w:val="00537F4C"/>
    <w:rsid w:val="00540259"/>
    <w:rsid w:val="0054042D"/>
    <w:rsid w:val="0054073B"/>
    <w:rsid w:val="005407B3"/>
    <w:rsid w:val="00540AEE"/>
    <w:rsid w:val="00540AF5"/>
    <w:rsid w:val="00540BC5"/>
    <w:rsid w:val="00540C04"/>
    <w:rsid w:val="00540DA2"/>
    <w:rsid w:val="00540FB6"/>
    <w:rsid w:val="005410D6"/>
    <w:rsid w:val="00541325"/>
    <w:rsid w:val="0054156B"/>
    <w:rsid w:val="005416F1"/>
    <w:rsid w:val="0054171C"/>
    <w:rsid w:val="005418D2"/>
    <w:rsid w:val="00541977"/>
    <w:rsid w:val="00541986"/>
    <w:rsid w:val="00541A0F"/>
    <w:rsid w:val="00541B05"/>
    <w:rsid w:val="00541E2D"/>
    <w:rsid w:val="00542234"/>
    <w:rsid w:val="0054257C"/>
    <w:rsid w:val="0054258D"/>
    <w:rsid w:val="00542637"/>
    <w:rsid w:val="0054281A"/>
    <w:rsid w:val="005428C9"/>
    <w:rsid w:val="005428FB"/>
    <w:rsid w:val="00542B36"/>
    <w:rsid w:val="00542BE4"/>
    <w:rsid w:val="00542CEF"/>
    <w:rsid w:val="00542EFA"/>
    <w:rsid w:val="0054314E"/>
    <w:rsid w:val="0054315A"/>
    <w:rsid w:val="005432A3"/>
    <w:rsid w:val="005434CE"/>
    <w:rsid w:val="00543535"/>
    <w:rsid w:val="005435D1"/>
    <w:rsid w:val="00543645"/>
    <w:rsid w:val="0054374D"/>
    <w:rsid w:val="0054379A"/>
    <w:rsid w:val="00543EAA"/>
    <w:rsid w:val="005447AE"/>
    <w:rsid w:val="005447EF"/>
    <w:rsid w:val="00544C60"/>
    <w:rsid w:val="00544C73"/>
    <w:rsid w:val="00544CC6"/>
    <w:rsid w:val="00544E86"/>
    <w:rsid w:val="00544EAE"/>
    <w:rsid w:val="005454BB"/>
    <w:rsid w:val="00545B4C"/>
    <w:rsid w:val="00545E0B"/>
    <w:rsid w:val="0054608F"/>
    <w:rsid w:val="005460EE"/>
    <w:rsid w:val="00546194"/>
    <w:rsid w:val="00546216"/>
    <w:rsid w:val="00546839"/>
    <w:rsid w:val="00546947"/>
    <w:rsid w:val="00546A92"/>
    <w:rsid w:val="00546AAC"/>
    <w:rsid w:val="00546BEF"/>
    <w:rsid w:val="00546C64"/>
    <w:rsid w:val="00547100"/>
    <w:rsid w:val="005472C9"/>
    <w:rsid w:val="0054738B"/>
    <w:rsid w:val="005479F4"/>
    <w:rsid w:val="00547DA7"/>
    <w:rsid w:val="00547F66"/>
    <w:rsid w:val="00550005"/>
    <w:rsid w:val="00550303"/>
    <w:rsid w:val="00550417"/>
    <w:rsid w:val="0055051B"/>
    <w:rsid w:val="00550998"/>
    <w:rsid w:val="005509C8"/>
    <w:rsid w:val="00550D49"/>
    <w:rsid w:val="00550F0C"/>
    <w:rsid w:val="00551164"/>
    <w:rsid w:val="005516F7"/>
    <w:rsid w:val="00551893"/>
    <w:rsid w:val="005518AB"/>
    <w:rsid w:val="00551A2D"/>
    <w:rsid w:val="0055206A"/>
    <w:rsid w:val="005524A4"/>
    <w:rsid w:val="00552558"/>
    <w:rsid w:val="00552655"/>
    <w:rsid w:val="00552800"/>
    <w:rsid w:val="0055285D"/>
    <w:rsid w:val="00552C05"/>
    <w:rsid w:val="00552C8C"/>
    <w:rsid w:val="00552E5C"/>
    <w:rsid w:val="00552E7F"/>
    <w:rsid w:val="00552FEA"/>
    <w:rsid w:val="00553081"/>
    <w:rsid w:val="0055342F"/>
    <w:rsid w:val="005534A2"/>
    <w:rsid w:val="0055362C"/>
    <w:rsid w:val="005536FC"/>
    <w:rsid w:val="00553725"/>
    <w:rsid w:val="00553740"/>
    <w:rsid w:val="005537F9"/>
    <w:rsid w:val="00553C38"/>
    <w:rsid w:val="00553E13"/>
    <w:rsid w:val="00553EF9"/>
    <w:rsid w:val="005543CC"/>
    <w:rsid w:val="005546A4"/>
    <w:rsid w:val="00554C24"/>
    <w:rsid w:val="00554C85"/>
    <w:rsid w:val="005551A7"/>
    <w:rsid w:val="00555279"/>
    <w:rsid w:val="00555457"/>
    <w:rsid w:val="00555756"/>
    <w:rsid w:val="00555807"/>
    <w:rsid w:val="00555A5F"/>
    <w:rsid w:val="00555B95"/>
    <w:rsid w:val="00556055"/>
    <w:rsid w:val="005565C3"/>
    <w:rsid w:val="00556A8A"/>
    <w:rsid w:val="00556D64"/>
    <w:rsid w:val="00557077"/>
    <w:rsid w:val="0055712B"/>
    <w:rsid w:val="00557184"/>
    <w:rsid w:val="00557293"/>
    <w:rsid w:val="005572D9"/>
    <w:rsid w:val="0055730C"/>
    <w:rsid w:val="005573E1"/>
    <w:rsid w:val="0055758F"/>
    <w:rsid w:val="00557594"/>
    <w:rsid w:val="00557668"/>
    <w:rsid w:val="0055766A"/>
    <w:rsid w:val="00557867"/>
    <w:rsid w:val="00557910"/>
    <w:rsid w:val="0056041C"/>
    <w:rsid w:val="005605C6"/>
    <w:rsid w:val="005606AA"/>
    <w:rsid w:val="005606EF"/>
    <w:rsid w:val="0056075C"/>
    <w:rsid w:val="00560825"/>
    <w:rsid w:val="0056085B"/>
    <w:rsid w:val="0056087C"/>
    <w:rsid w:val="00560E49"/>
    <w:rsid w:val="00560ECA"/>
    <w:rsid w:val="00561041"/>
    <w:rsid w:val="00561341"/>
    <w:rsid w:val="005613AB"/>
    <w:rsid w:val="005613FB"/>
    <w:rsid w:val="0056171E"/>
    <w:rsid w:val="0056179C"/>
    <w:rsid w:val="005617DF"/>
    <w:rsid w:val="005619C5"/>
    <w:rsid w:val="00561D28"/>
    <w:rsid w:val="00561F9C"/>
    <w:rsid w:val="0056226A"/>
    <w:rsid w:val="005625C0"/>
    <w:rsid w:val="00562760"/>
    <w:rsid w:val="00562B9E"/>
    <w:rsid w:val="00562C4E"/>
    <w:rsid w:val="00562CF5"/>
    <w:rsid w:val="00562DD1"/>
    <w:rsid w:val="00563169"/>
    <w:rsid w:val="005632B4"/>
    <w:rsid w:val="00563365"/>
    <w:rsid w:val="005634B0"/>
    <w:rsid w:val="0056375E"/>
    <w:rsid w:val="005637A2"/>
    <w:rsid w:val="00563852"/>
    <w:rsid w:val="00563903"/>
    <w:rsid w:val="005639E7"/>
    <w:rsid w:val="00563A98"/>
    <w:rsid w:val="00563B20"/>
    <w:rsid w:val="00563B84"/>
    <w:rsid w:val="00563BFF"/>
    <w:rsid w:val="00563E50"/>
    <w:rsid w:val="00563EE8"/>
    <w:rsid w:val="0056416E"/>
    <w:rsid w:val="005642A9"/>
    <w:rsid w:val="0056455B"/>
    <w:rsid w:val="005645B7"/>
    <w:rsid w:val="0056469C"/>
    <w:rsid w:val="00564922"/>
    <w:rsid w:val="0056496C"/>
    <w:rsid w:val="00564A65"/>
    <w:rsid w:val="00564A7E"/>
    <w:rsid w:val="00564BF9"/>
    <w:rsid w:val="00564D06"/>
    <w:rsid w:val="00564D8C"/>
    <w:rsid w:val="00564EA2"/>
    <w:rsid w:val="00564F17"/>
    <w:rsid w:val="00564FC6"/>
    <w:rsid w:val="0056507F"/>
    <w:rsid w:val="00565601"/>
    <w:rsid w:val="0056569B"/>
    <w:rsid w:val="00565965"/>
    <w:rsid w:val="00565B90"/>
    <w:rsid w:val="00565CE4"/>
    <w:rsid w:val="0056608F"/>
    <w:rsid w:val="00566201"/>
    <w:rsid w:val="00566357"/>
    <w:rsid w:val="0056640B"/>
    <w:rsid w:val="00566494"/>
    <w:rsid w:val="00566924"/>
    <w:rsid w:val="00566A6D"/>
    <w:rsid w:val="00566C1B"/>
    <w:rsid w:val="00566DCA"/>
    <w:rsid w:val="00566FC3"/>
    <w:rsid w:val="0056730C"/>
    <w:rsid w:val="005675DF"/>
    <w:rsid w:val="00567674"/>
    <w:rsid w:val="005677DD"/>
    <w:rsid w:val="00567833"/>
    <w:rsid w:val="0056792C"/>
    <w:rsid w:val="00567B26"/>
    <w:rsid w:val="00567DF5"/>
    <w:rsid w:val="00567E5F"/>
    <w:rsid w:val="005704F5"/>
    <w:rsid w:val="0057051F"/>
    <w:rsid w:val="005707A2"/>
    <w:rsid w:val="00570821"/>
    <w:rsid w:val="00570B19"/>
    <w:rsid w:val="00571041"/>
    <w:rsid w:val="00571311"/>
    <w:rsid w:val="005714C2"/>
    <w:rsid w:val="005714EA"/>
    <w:rsid w:val="0057152A"/>
    <w:rsid w:val="005715C2"/>
    <w:rsid w:val="00571681"/>
    <w:rsid w:val="0057170B"/>
    <w:rsid w:val="00571975"/>
    <w:rsid w:val="00571A08"/>
    <w:rsid w:val="00571C35"/>
    <w:rsid w:val="00571EB3"/>
    <w:rsid w:val="00572054"/>
    <w:rsid w:val="00572251"/>
    <w:rsid w:val="00572799"/>
    <w:rsid w:val="005728CF"/>
    <w:rsid w:val="005729A9"/>
    <w:rsid w:val="00572FA9"/>
    <w:rsid w:val="00572FCB"/>
    <w:rsid w:val="00573290"/>
    <w:rsid w:val="00573460"/>
    <w:rsid w:val="0057368F"/>
    <w:rsid w:val="00573826"/>
    <w:rsid w:val="00573964"/>
    <w:rsid w:val="00573B78"/>
    <w:rsid w:val="00573CD3"/>
    <w:rsid w:val="00573D04"/>
    <w:rsid w:val="00573D85"/>
    <w:rsid w:val="00573FD2"/>
    <w:rsid w:val="00574548"/>
    <w:rsid w:val="00574728"/>
    <w:rsid w:val="005748D6"/>
    <w:rsid w:val="00574B50"/>
    <w:rsid w:val="00574CA9"/>
    <w:rsid w:val="00574DC2"/>
    <w:rsid w:val="00574E43"/>
    <w:rsid w:val="00574F3D"/>
    <w:rsid w:val="005750B8"/>
    <w:rsid w:val="00575108"/>
    <w:rsid w:val="005752A2"/>
    <w:rsid w:val="0057535A"/>
    <w:rsid w:val="005753F0"/>
    <w:rsid w:val="00575713"/>
    <w:rsid w:val="005757A9"/>
    <w:rsid w:val="00575AAD"/>
    <w:rsid w:val="00575B1D"/>
    <w:rsid w:val="00575B24"/>
    <w:rsid w:val="00575D5F"/>
    <w:rsid w:val="0057610E"/>
    <w:rsid w:val="005762BC"/>
    <w:rsid w:val="00576324"/>
    <w:rsid w:val="0057643B"/>
    <w:rsid w:val="00576557"/>
    <w:rsid w:val="00576CD5"/>
    <w:rsid w:val="0057704A"/>
    <w:rsid w:val="00577233"/>
    <w:rsid w:val="005775B2"/>
    <w:rsid w:val="005775C1"/>
    <w:rsid w:val="005776AA"/>
    <w:rsid w:val="005776E1"/>
    <w:rsid w:val="0057772D"/>
    <w:rsid w:val="005779AD"/>
    <w:rsid w:val="00577B92"/>
    <w:rsid w:val="00577BBA"/>
    <w:rsid w:val="00577CB7"/>
    <w:rsid w:val="00577E5E"/>
    <w:rsid w:val="00580181"/>
    <w:rsid w:val="0058073C"/>
    <w:rsid w:val="00580B69"/>
    <w:rsid w:val="00580C02"/>
    <w:rsid w:val="00581024"/>
    <w:rsid w:val="0058129C"/>
    <w:rsid w:val="00581464"/>
    <w:rsid w:val="00581472"/>
    <w:rsid w:val="005814A6"/>
    <w:rsid w:val="0058167A"/>
    <w:rsid w:val="00581971"/>
    <w:rsid w:val="00581D24"/>
    <w:rsid w:val="00581F9C"/>
    <w:rsid w:val="00582204"/>
    <w:rsid w:val="00582214"/>
    <w:rsid w:val="0058230D"/>
    <w:rsid w:val="00582B4D"/>
    <w:rsid w:val="00582C2A"/>
    <w:rsid w:val="00582DD7"/>
    <w:rsid w:val="005831E5"/>
    <w:rsid w:val="00583288"/>
    <w:rsid w:val="005832F2"/>
    <w:rsid w:val="00583321"/>
    <w:rsid w:val="0058337C"/>
    <w:rsid w:val="005834B9"/>
    <w:rsid w:val="005834E5"/>
    <w:rsid w:val="005835DD"/>
    <w:rsid w:val="005836D9"/>
    <w:rsid w:val="005838BA"/>
    <w:rsid w:val="005839DC"/>
    <w:rsid w:val="00583A50"/>
    <w:rsid w:val="00583A98"/>
    <w:rsid w:val="00583ACD"/>
    <w:rsid w:val="00583C0C"/>
    <w:rsid w:val="00583D02"/>
    <w:rsid w:val="005840A0"/>
    <w:rsid w:val="005841F2"/>
    <w:rsid w:val="00584451"/>
    <w:rsid w:val="00584663"/>
    <w:rsid w:val="0058469B"/>
    <w:rsid w:val="00584742"/>
    <w:rsid w:val="005847FA"/>
    <w:rsid w:val="005849B0"/>
    <w:rsid w:val="005849BD"/>
    <w:rsid w:val="005849C7"/>
    <w:rsid w:val="005849EE"/>
    <w:rsid w:val="00584A30"/>
    <w:rsid w:val="00584AF3"/>
    <w:rsid w:val="00584B2E"/>
    <w:rsid w:val="00584B51"/>
    <w:rsid w:val="00584D5E"/>
    <w:rsid w:val="00584DB9"/>
    <w:rsid w:val="00584FBC"/>
    <w:rsid w:val="00585320"/>
    <w:rsid w:val="005853A9"/>
    <w:rsid w:val="005854C4"/>
    <w:rsid w:val="0058575D"/>
    <w:rsid w:val="00585957"/>
    <w:rsid w:val="00585A3C"/>
    <w:rsid w:val="0058627F"/>
    <w:rsid w:val="00586293"/>
    <w:rsid w:val="00586312"/>
    <w:rsid w:val="00586315"/>
    <w:rsid w:val="005863D1"/>
    <w:rsid w:val="00586889"/>
    <w:rsid w:val="00586904"/>
    <w:rsid w:val="00586AC2"/>
    <w:rsid w:val="00587096"/>
    <w:rsid w:val="0058709B"/>
    <w:rsid w:val="005870CC"/>
    <w:rsid w:val="005874EC"/>
    <w:rsid w:val="005875C2"/>
    <w:rsid w:val="005875FC"/>
    <w:rsid w:val="00587706"/>
    <w:rsid w:val="00587850"/>
    <w:rsid w:val="00587907"/>
    <w:rsid w:val="00587A7E"/>
    <w:rsid w:val="00587BC0"/>
    <w:rsid w:val="00587BE6"/>
    <w:rsid w:val="00587DAC"/>
    <w:rsid w:val="00587DB0"/>
    <w:rsid w:val="00587DBE"/>
    <w:rsid w:val="00587E46"/>
    <w:rsid w:val="00590024"/>
    <w:rsid w:val="005903F8"/>
    <w:rsid w:val="005904AD"/>
    <w:rsid w:val="0059091C"/>
    <w:rsid w:val="00590A97"/>
    <w:rsid w:val="00590D1B"/>
    <w:rsid w:val="00590DEB"/>
    <w:rsid w:val="00591383"/>
    <w:rsid w:val="00591443"/>
    <w:rsid w:val="005915AD"/>
    <w:rsid w:val="00591784"/>
    <w:rsid w:val="0059182D"/>
    <w:rsid w:val="00591B50"/>
    <w:rsid w:val="0059226A"/>
    <w:rsid w:val="005922E9"/>
    <w:rsid w:val="005922FF"/>
    <w:rsid w:val="005926C7"/>
    <w:rsid w:val="005926E1"/>
    <w:rsid w:val="00592985"/>
    <w:rsid w:val="00592AF4"/>
    <w:rsid w:val="00592B22"/>
    <w:rsid w:val="005930D5"/>
    <w:rsid w:val="005931C6"/>
    <w:rsid w:val="00593220"/>
    <w:rsid w:val="005932DB"/>
    <w:rsid w:val="005934F5"/>
    <w:rsid w:val="0059368F"/>
    <w:rsid w:val="005938BF"/>
    <w:rsid w:val="00593971"/>
    <w:rsid w:val="00593B81"/>
    <w:rsid w:val="00593CA1"/>
    <w:rsid w:val="00593DDB"/>
    <w:rsid w:val="00593E6B"/>
    <w:rsid w:val="005941FF"/>
    <w:rsid w:val="0059420D"/>
    <w:rsid w:val="00594213"/>
    <w:rsid w:val="00594308"/>
    <w:rsid w:val="00594567"/>
    <w:rsid w:val="0059475F"/>
    <w:rsid w:val="00594779"/>
    <w:rsid w:val="00594975"/>
    <w:rsid w:val="00595318"/>
    <w:rsid w:val="0059542F"/>
    <w:rsid w:val="0059569E"/>
    <w:rsid w:val="00595884"/>
    <w:rsid w:val="005958E4"/>
    <w:rsid w:val="00595933"/>
    <w:rsid w:val="005959B0"/>
    <w:rsid w:val="005959F3"/>
    <w:rsid w:val="00595E7F"/>
    <w:rsid w:val="00595EF3"/>
    <w:rsid w:val="00595FA5"/>
    <w:rsid w:val="00596130"/>
    <w:rsid w:val="00596217"/>
    <w:rsid w:val="0059628A"/>
    <w:rsid w:val="0059641A"/>
    <w:rsid w:val="00596658"/>
    <w:rsid w:val="00596744"/>
    <w:rsid w:val="00596819"/>
    <w:rsid w:val="0059687D"/>
    <w:rsid w:val="00596899"/>
    <w:rsid w:val="0059696D"/>
    <w:rsid w:val="00596A4F"/>
    <w:rsid w:val="00596AA2"/>
    <w:rsid w:val="00596C8D"/>
    <w:rsid w:val="00596E3F"/>
    <w:rsid w:val="0059701C"/>
    <w:rsid w:val="005970FA"/>
    <w:rsid w:val="00597180"/>
    <w:rsid w:val="00597181"/>
    <w:rsid w:val="00597299"/>
    <w:rsid w:val="005973F5"/>
    <w:rsid w:val="005974F9"/>
    <w:rsid w:val="0059753F"/>
    <w:rsid w:val="00597A5E"/>
    <w:rsid w:val="00597D53"/>
    <w:rsid w:val="00597DB7"/>
    <w:rsid w:val="00597F94"/>
    <w:rsid w:val="005A0557"/>
    <w:rsid w:val="005A0C88"/>
    <w:rsid w:val="005A0DD5"/>
    <w:rsid w:val="005A0FA9"/>
    <w:rsid w:val="005A105E"/>
    <w:rsid w:val="005A162E"/>
    <w:rsid w:val="005A17C5"/>
    <w:rsid w:val="005A1967"/>
    <w:rsid w:val="005A1E24"/>
    <w:rsid w:val="005A20A5"/>
    <w:rsid w:val="005A2217"/>
    <w:rsid w:val="005A2626"/>
    <w:rsid w:val="005A28C9"/>
    <w:rsid w:val="005A294A"/>
    <w:rsid w:val="005A2AED"/>
    <w:rsid w:val="005A2B8D"/>
    <w:rsid w:val="005A2C2D"/>
    <w:rsid w:val="005A2CE7"/>
    <w:rsid w:val="005A2E36"/>
    <w:rsid w:val="005A2EC5"/>
    <w:rsid w:val="005A2F3A"/>
    <w:rsid w:val="005A3381"/>
    <w:rsid w:val="005A35AA"/>
    <w:rsid w:val="005A36AE"/>
    <w:rsid w:val="005A3723"/>
    <w:rsid w:val="005A3764"/>
    <w:rsid w:val="005A39CF"/>
    <w:rsid w:val="005A3B58"/>
    <w:rsid w:val="005A3B98"/>
    <w:rsid w:val="005A3BA6"/>
    <w:rsid w:val="005A3D5B"/>
    <w:rsid w:val="005A3D90"/>
    <w:rsid w:val="005A3FBF"/>
    <w:rsid w:val="005A42E2"/>
    <w:rsid w:val="005A437A"/>
    <w:rsid w:val="005A45EF"/>
    <w:rsid w:val="005A4811"/>
    <w:rsid w:val="005A4AC1"/>
    <w:rsid w:val="005A4BF1"/>
    <w:rsid w:val="005A4E3D"/>
    <w:rsid w:val="005A522C"/>
    <w:rsid w:val="005A528C"/>
    <w:rsid w:val="005A5542"/>
    <w:rsid w:val="005A5776"/>
    <w:rsid w:val="005A598B"/>
    <w:rsid w:val="005A5AFF"/>
    <w:rsid w:val="005A5B60"/>
    <w:rsid w:val="005A5C7D"/>
    <w:rsid w:val="005A5DD3"/>
    <w:rsid w:val="005A62E1"/>
    <w:rsid w:val="005A6361"/>
    <w:rsid w:val="005A64E1"/>
    <w:rsid w:val="005A6A87"/>
    <w:rsid w:val="005A6E1B"/>
    <w:rsid w:val="005A700A"/>
    <w:rsid w:val="005A70BA"/>
    <w:rsid w:val="005A70BD"/>
    <w:rsid w:val="005A724C"/>
    <w:rsid w:val="005A72B0"/>
    <w:rsid w:val="005A7591"/>
    <w:rsid w:val="005A79A8"/>
    <w:rsid w:val="005A7A93"/>
    <w:rsid w:val="005A7C1F"/>
    <w:rsid w:val="005A7DD5"/>
    <w:rsid w:val="005A7FA1"/>
    <w:rsid w:val="005B00BB"/>
    <w:rsid w:val="005B01A1"/>
    <w:rsid w:val="005B0449"/>
    <w:rsid w:val="005B0716"/>
    <w:rsid w:val="005B07D3"/>
    <w:rsid w:val="005B0879"/>
    <w:rsid w:val="005B091C"/>
    <w:rsid w:val="005B0B97"/>
    <w:rsid w:val="005B122D"/>
    <w:rsid w:val="005B12D3"/>
    <w:rsid w:val="005B150B"/>
    <w:rsid w:val="005B15EA"/>
    <w:rsid w:val="005B1649"/>
    <w:rsid w:val="005B18D5"/>
    <w:rsid w:val="005B1B7F"/>
    <w:rsid w:val="005B203B"/>
    <w:rsid w:val="005B207D"/>
    <w:rsid w:val="005B22D2"/>
    <w:rsid w:val="005B2621"/>
    <w:rsid w:val="005B266C"/>
    <w:rsid w:val="005B26B7"/>
    <w:rsid w:val="005B2724"/>
    <w:rsid w:val="005B2788"/>
    <w:rsid w:val="005B2792"/>
    <w:rsid w:val="005B298E"/>
    <w:rsid w:val="005B2B30"/>
    <w:rsid w:val="005B2C7D"/>
    <w:rsid w:val="005B2DEC"/>
    <w:rsid w:val="005B2E78"/>
    <w:rsid w:val="005B2E9D"/>
    <w:rsid w:val="005B3020"/>
    <w:rsid w:val="005B3134"/>
    <w:rsid w:val="005B318C"/>
    <w:rsid w:val="005B32F2"/>
    <w:rsid w:val="005B3390"/>
    <w:rsid w:val="005B3631"/>
    <w:rsid w:val="005B38E1"/>
    <w:rsid w:val="005B3E2C"/>
    <w:rsid w:val="005B403C"/>
    <w:rsid w:val="005B41D1"/>
    <w:rsid w:val="005B41DD"/>
    <w:rsid w:val="005B41FF"/>
    <w:rsid w:val="005B460C"/>
    <w:rsid w:val="005B4717"/>
    <w:rsid w:val="005B489A"/>
    <w:rsid w:val="005B489C"/>
    <w:rsid w:val="005B4A62"/>
    <w:rsid w:val="005B4C8D"/>
    <w:rsid w:val="005B4CED"/>
    <w:rsid w:val="005B4D07"/>
    <w:rsid w:val="005B4E39"/>
    <w:rsid w:val="005B4E73"/>
    <w:rsid w:val="005B4FE7"/>
    <w:rsid w:val="005B502A"/>
    <w:rsid w:val="005B5146"/>
    <w:rsid w:val="005B51E7"/>
    <w:rsid w:val="005B56E1"/>
    <w:rsid w:val="005B584D"/>
    <w:rsid w:val="005B587D"/>
    <w:rsid w:val="005B5908"/>
    <w:rsid w:val="005B5A51"/>
    <w:rsid w:val="005B5E6D"/>
    <w:rsid w:val="005B5FF5"/>
    <w:rsid w:val="005B60FB"/>
    <w:rsid w:val="005B6148"/>
    <w:rsid w:val="005B61BF"/>
    <w:rsid w:val="005B624C"/>
    <w:rsid w:val="005B628F"/>
    <w:rsid w:val="005B645A"/>
    <w:rsid w:val="005B65B8"/>
    <w:rsid w:val="005B663A"/>
    <w:rsid w:val="005B6687"/>
    <w:rsid w:val="005B6849"/>
    <w:rsid w:val="005B685B"/>
    <w:rsid w:val="005B6C75"/>
    <w:rsid w:val="005B6DE7"/>
    <w:rsid w:val="005B7304"/>
    <w:rsid w:val="005B7314"/>
    <w:rsid w:val="005B7488"/>
    <w:rsid w:val="005B764B"/>
    <w:rsid w:val="005B77E0"/>
    <w:rsid w:val="005B78CC"/>
    <w:rsid w:val="005B79E5"/>
    <w:rsid w:val="005B7C96"/>
    <w:rsid w:val="005B7D7B"/>
    <w:rsid w:val="005B7F17"/>
    <w:rsid w:val="005C00B9"/>
    <w:rsid w:val="005C01BA"/>
    <w:rsid w:val="005C0391"/>
    <w:rsid w:val="005C0637"/>
    <w:rsid w:val="005C0ADE"/>
    <w:rsid w:val="005C0E5B"/>
    <w:rsid w:val="005C0F66"/>
    <w:rsid w:val="005C104A"/>
    <w:rsid w:val="005C104C"/>
    <w:rsid w:val="005C10BB"/>
    <w:rsid w:val="005C1157"/>
    <w:rsid w:val="005C1408"/>
    <w:rsid w:val="005C1419"/>
    <w:rsid w:val="005C14E9"/>
    <w:rsid w:val="005C15D1"/>
    <w:rsid w:val="005C15F0"/>
    <w:rsid w:val="005C1767"/>
    <w:rsid w:val="005C17A6"/>
    <w:rsid w:val="005C17B4"/>
    <w:rsid w:val="005C17CF"/>
    <w:rsid w:val="005C1983"/>
    <w:rsid w:val="005C1A89"/>
    <w:rsid w:val="005C1AE9"/>
    <w:rsid w:val="005C1CC0"/>
    <w:rsid w:val="005C1DE6"/>
    <w:rsid w:val="005C1EF2"/>
    <w:rsid w:val="005C23C8"/>
    <w:rsid w:val="005C23FD"/>
    <w:rsid w:val="005C2538"/>
    <w:rsid w:val="005C256C"/>
    <w:rsid w:val="005C2728"/>
    <w:rsid w:val="005C28CD"/>
    <w:rsid w:val="005C2EDC"/>
    <w:rsid w:val="005C3015"/>
    <w:rsid w:val="005C308A"/>
    <w:rsid w:val="005C314B"/>
    <w:rsid w:val="005C31AC"/>
    <w:rsid w:val="005C33C4"/>
    <w:rsid w:val="005C371A"/>
    <w:rsid w:val="005C39F8"/>
    <w:rsid w:val="005C3DF1"/>
    <w:rsid w:val="005C3E08"/>
    <w:rsid w:val="005C3E86"/>
    <w:rsid w:val="005C4429"/>
    <w:rsid w:val="005C4489"/>
    <w:rsid w:val="005C44DB"/>
    <w:rsid w:val="005C47CB"/>
    <w:rsid w:val="005C4936"/>
    <w:rsid w:val="005C49DF"/>
    <w:rsid w:val="005C4CB1"/>
    <w:rsid w:val="005C4D3D"/>
    <w:rsid w:val="005C4D5E"/>
    <w:rsid w:val="005C4DA6"/>
    <w:rsid w:val="005C4EAC"/>
    <w:rsid w:val="005C505B"/>
    <w:rsid w:val="005C517A"/>
    <w:rsid w:val="005C5242"/>
    <w:rsid w:val="005C5274"/>
    <w:rsid w:val="005C5360"/>
    <w:rsid w:val="005C54C4"/>
    <w:rsid w:val="005C5616"/>
    <w:rsid w:val="005C5660"/>
    <w:rsid w:val="005C56C3"/>
    <w:rsid w:val="005C57C5"/>
    <w:rsid w:val="005C5807"/>
    <w:rsid w:val="005C5822"/>
    <w:rsid w:val="005C5B55"/>
    <w:rsid w:val="005C5C4E"/>
    <w:rsid w:val="005C5D76"/>
    <w:rsid w:val="005C5F54"/>
    <w:rsid w:val="005C6190"/>
    <w:rsid w:val="005C62AC"/>
    <w:rsid w:val="005C6426"/>
    <w:rsid w:val="005C648F"/>
    <w:rsid w:val="005C6676"/>
    <w:rsid w:val="005C66CE"/>
    <w:rsid w:val="005C66DA"/>
    <w:rsid w:val="005C6769"/>
    <w:rsid w:val="005C6A8D"/>
    <w:rsid w:val="005C6D8A"/>
    <w:rsid w:val="005C6E1C"/>
    <w:rsid w:val="005C6EE6"/>
    <w:rsid w:val="005C6FA8"/>
    <w:rsid w:val="005C72FF"/>
    <w:rsid w:val="005C74FD"/>
    <w:rsid w:val="005C75AB"/>
    <w:rsid w:val="005C7AF5"/>
    <w:rsid w:val="005D0233"/>
    <w:rsid w:val="005D04D9"/>
    <w:rsid w:val="005D04E8"/>
    <w:rsid w:val="005D06F6"/>
    <w:rsid w:val="005D08A0"/>
    <w:rsid w:val="005D0ACA"/>
    <w:rsid w:val="005D0AE1"/>
    <w:rsid w:val="005D0B38"/>
    <w:rsid w:val="005D0CCB"/>
    <w:rsid w:val="005D0EF4"/>
    <w:rsid w:val="005D1180"/>
    <w:rsid w:val="005D1300"/>
    <w:rsid w:val="005D13AC"/>
    <w:rsid w:val="005D194E"/>
    <w:rsid w:val="005D19E8"/>
    <w:rsid w:val="005D1A95"/>
    <w:rsid w:val="005D1A97"/>
    <w:rsid w:val="005D1B24"/>
    <w:rsid w:val="005D1C4B"/>
    <w:rsid w:val="005D1CC3"/>
    <w:rsid w:val="005D1D77"/>
    <w:rsid w:val="005D1DD2"/>
    <w:rsid w:val="005D1E3A"/>
    <w:rsid w:val="005D1F0C"/>
    <w:rsid w:val="005D213F"/>
    <w:rsid w:val="005D2249"/>
    <w:rsid w:val="005D22FE"/>
    <w:rsid w:val="005D25D2"/>
    <w:rsid w:val="005D26E6"/>
    <w:rsid w:val="005D297E"/>
    <w:rsid w:val="005D2B23"/>
    <w:rsid w:val="005D2C29"/>
    <w:rsid w:val="005D2EE5"/>
    <w:rsid w:val="005D31DA"/>
    <w:rsid w:val="005D3334"/>
    <w:rsid w:val="005D333E"/>
    <w:rsid w:val="005D33E2"/>
    <w:rsid w:val="005D34F0"/>
    <w:rsid w:val="005D34F4"/>
    <w:rsid w:val="005D35EB"/>
    <w:rsid w:val="005D3664"/>
    <w:rsid w:val="005D3700"/>
    <w:rsid w:val="005D3815"/>
    <w:rsid w:val="005D391E"/>
    <w:rsid w:val="005D3953"/>
    <w:rsid w:val="005D3961"/>
    <w:rsid w:val="005D3C53"/>
    <w:rsid w:val="005D3C63"/>
    <w:rsid w:val="005D3F82"/>
    <w:rsid w:val="005D4141"/>
    <w:rsid w:val="005D429F"/>
    <w:rsid w:val="005D4656"/>
    <w:rsid w:val="005D46C1"/>
    <w:rsid w:val="005D4824"/>
    <w:rsid w:val="005D48B8"/>
    <w:rsid w:val="005D4B5C"/>
    <w:rsid w:val="005D4CFF"/>
    <w:rsid w:val="005D4DC4"/>
    <w:rsid w:val="005D4F75"/>
    <w:rsid w:val="005D4F86"/>
    <w:rsid w:val="005D4F92"/>
    <w:rsid w:val="005D5148"/>
    <w:rsid w:val="005D52CA"/>
    <w:rsid w:val="005D54C7"/>
    <w:rsid w:val="005D5680"/>
    <w:rsid w:val="005D5682"/>
    <w:rsid w:val="005D57C1"/>
    <w:rsid w:val="005D5B61"/>
    <w:rsid w:val="005D5B8A"/>
    <w:rsid w:val="005D5B96"/>
    <w:rsid w:val="005D5BB7"/>
    <w:rsid w:val="005D5C1A"/>
    <w:rsid w:val="005D5D43"/>
    <w:rsid w:val="005D5FC1"/>
    <w:rsid w:val="005D60ED"/>
    <w:rsid w:val="005D623D"/>
    <w:rsid w:val="005D63BD"/>
    <w:rsid w:val="005D66B0"/>
    <w:rsid w:val="005D66BB"/>
    <w:rsid w:val="005D697E"/>
    <w:rsid w:val="005D6ABA"/>
    <w:rsid w:val="005D6BB6"/>
    <w:rsid w:val="005D7066"/>
    <w:rsid w:val="005D71D8"/>
    <w:rsid w:val="005D732A"/>
    <w:rsid w:val="005D7696"/>
    <w:rsid w:val="005D775E"/>
    <w:rsid w:val="005D791B"/>
    <w:rsid w:val="005D79A8"/>
    <w:rsid w:val="005D7DA2"/>
    <w:rsid w:val="005D7DF3"/>
    <w:rsid w:val="005D7E8F"/>
    <w:rsid w:val="005D7F59"/>
    <w:rsid w:val="005D7FE5"/>
    <w:rsid w:val="005E01A4"/>
    <w:rsid w:val="005E07E1"/>
    <w:rsid w:val="005E0B3D"/>
    <w:rsid w:val="005E0DA4"/>
    <w:rsid w:val="005E0E11"/>
    <w:rsid w:val="005E0EED"/>
    <w:rsid w:val="005E0FB3"/>
    <w:rsid w:val="005E104B"/>
    <w:rsid w:val="005E1123"/>
    <w:rsid w:val="005E11C3"/>
    <w:rsid w:val="005E11DA"/>
    <w:rsid w:val="005E1672"/>
    <w:rsid w:val="005E1687"/>
    <w:rsid w:val="005E173A"/>
    <w:rsid w:val="005E17D9"/>
    <w:rsid w:val="005E17DE"/>
    <w:rsid w:val="005E1864"/>
    <w:rsid w:val="005E18B3"/>
    <w:rsid w:val="005E19BD"/>
    <w:rsid w:val="005E1A00"/>
    <w:rsid w:val="005E1A17"/>
    <w:rsid w:val="005E1D1C"/>
    <w:rsid w:val="005E1D2A"/>
    <w:rsid w:val="005E1E26"/>
    <w:rsid w:val="005E1E34"/>
    <w:rsid w:val="005E1FDD"/>
    <w:rsid w:val="005E2161"/>
    <w:rsid w:val="005E22C5"/>
    <w:rsid w:val="005E286D"/>
    <w:rsid w:val="005E2B58"/>
    <w:rsid w:val="005E2B5C"/>
    <w:rsid w:val="005E3041"/>
    <w:rsid w:val="005E31F0"/>
    <w:rsid w:val="005E34C5"/>
    <w:rsid w:val="005E34D7"/>
    <w:rsid w:val="005E39B3"/>
    <w:rsid w:val="005E3CDF"/>
    <w:rsid w:val="005E4047"/>
    <w:rsid w:val="005E416B"/>
    <w:rsid w:val="005E4171"/>
    <w:rsid w:val="005E41BC"/>
    <w:rsid w:val="005E421E"/>
    <w:rsid w:val="005E4278"/>
    <w:rsid w:val="005E4329"/>
    <w:rsid w:val="005E43AD"/>
    <w:rsid w:val="005E456D"/>
    <w:rsid w:val="005E4752"/>
    <w:rsid w:val="005E4A82"/>
    <w:rsid w:val="005E4BF1"/>
    <w:rsid w:val="005E4D08"/>
    <w:rsid w:val="005E51F0"/>
    <w:rsid w:val="005E531A"/>
    <w:rsid w:val="005E53CB"/>
    <w:rsid w:val="005E56DC"/>
    <w:rsid w:val="005E59CA"/>
    <w:rsid w:val="005E5C2D"/>
    <w:rsid w:val="005E5D07"/>
    <w:rsid w:val="005E5F30"/>
    <w:rsid w:val="005E6041"/>
    <w:rsid w:val="005E611B"/>
    <w:rsid w:val="005E619E"/>
    <w:rsid w:val="005E61AC"/>
    <w:rsid w:val="005E6229"/>
    <w:rsid w:val="005E62B6"/>
    <w:rsid w:val="005E64D5"/>
    <w:rsid w:val="005E674C"/>
    <w:rsid w:val="005E6A7B"/>
    <w:rsid w:val="005E6AAB"/>
    <w:rsid w:val="005E6B21"/>
    <w:rsid w:val="005E6B69"/>
    <w:rsid w:val="005E6DA4"/>
    <w:rsid w:val="005E7128"/>
    <w:rsid w:val="005E723B"/>
    <w:rsid w:val="005E7461"/>
    <w:rsid w:val="005E74C8"/>
    <w:rsid w:val="005E74E3"/>
    <w:rsid w:val="005E7796"/>
    <w:rsid w:val="005E7D6D"/>
    <w:rsid w:val="005E7DE7"/>
    <w:rsid w:val="005F0274"/>
    <w:rsid w:val="005F03E2"/>
    <w:rsid w:val="005F0618"/>
    <w:rsid w:val="005F0622"/>
    <w:rsid w:val="005F0AD5"/>
    <w:rsid w:val="005F0BB8"/>
    <w:rsid w:val="005F0EC8"/>
    <w:rsid w:val="005F125F"/>
    <w:rsid w:val="005F1362"/>
    <w:rsid w:val="005F15BF"/>
    <w:rsid w:val="005F16BC"/>
    <w:rsid w:val="005F1798"/>
    <w:rsid w:val="005F1A14"/>
    <w:rsid w:val="005F1AE7"/>
    <w:rsid w:val="005F1C85"/>
    <w:rsid w:val="005F1ECC"/>
    <w:rsid w:val="005F2297"/>
    <w:rsid w:val="005F2568"/>
    <w:rsid w:val="005F25B9"/>
    <w:rsid w:val="005F27C9"/>
    <w:rsid w:val="005F286D"/>
    <w:rsid w:val="005F2A64"/>
    <w:rsid w:val="005F2C07"/>
    <w:rsid w:val="005F2C34"/>
    <w:rsid w:val="005F2C98"/>
    <w:rsid w:val="005F309A"/>
    <w:rsid w:val="005F30D7"/>
    <w:rsid w:val="005F3162"/>
    <w:rsid w:val="005F32B0"/>
    <w:rsid w:val="005F338D"/>
    <w:rsid w:val="005F33E7"/>
    <w:rsid w:val="005F340A"/>
    <w:rsid w:val="005F342A"/>
    <w:rsid w:val="005F3434"/>
    <w:rsid w:val="005F375C"/>
    <w:rsid w:val="005F37FA"/>
    <w:rsid w:val="005F3861"/>
    <w:rsid w:val="005F38FF"/>
    <w:rsid w:val="005F3AAD"/>
    <w:rsid w:val="005F3AC0"/>
    <w:rsid w:val="005F3D1D"/>
    <w:rsid w:val="005F3D6E"/>
    <w:rsid w:val="005F3D7E"/>
    <w:rsid w:val="005F3D8C"/>
    <w:rsid w:val="005F42DF"/>
    <w:rsid w:val="005F444C"/>
    <w:rsid w:val="005F456F"/>
    <w:rsid w:val="005F4A7C"/>
    <w:rsid w:val="005F4AC9"/>
    <w:rsid w:val="005F4B04"/>
    <w:rsid w:val="005F4BF5"/>
    <w:rsid w:val="005F4C6D"/>
    <w:rsid w:val="005F4E48"/>
    <w:rsid w:val="005F5258"/>
    <w:rsid w:val="005F54BE"/>
    <w:rsid w:val="005F54CE"/>
    <w:rsid w:val="005F5911"/>
    <w:rsid w:val="005F5A97"/>
    <w:rsid w:val="005F5CD7"/>
    <w:rsid w:val="005F5D11"/>
    <w:rsid w:val="005F6140"/>
    <w:rsid w:val="005F6601"/>
    <w:rsid w:val="005F6839"/>
    <w:rsid w:val="005F687C"/>
    <w:rsid w:val="005F6C76"/>
    <w:rsid w:val="005F6D16"/>
    <w:rsid w:val="005F752E"/>
    <w:rsid w:val="005F76CC"/>
    <w:rsid w:val="005F7741"/>
    <w:rsid w:val="005F7754"/>
    <w:rsid w:val="005F7835"/>
    <w:rsid w:val="005F7837"/>
    <w:rsid w:val="005F7C29"/>
    <w:rsid w:val="005F7CE3"/>
    <w:rsid w:val="005F7E25"/>
    <w:rsid w:val="005F7E90"/>
    <w:rsid w:val="00600114"/>
    <w:rsid w:val="00600292"/>
    <w:rsid w:val="0060047E"/>
    <w:rsid w:val="006004F3"/>
    <w:rsid w:val="006006B4"/>
    <w:rsid w:val="00600A86"/>
    <w:rsid w:val="00600E44"/>
    <w:rsid w:val="0060135B"/>
    <w:rsid w:val="0060157E"/>
    <w:rsid w:val="0060162E"/>
    <w:rsid w:val="006016F1"/>
    <w:rsid w:val="006017A6"/>
    <w:rsid w:val="00601806"/>
    <w:rsid w:val="006019F8"/>
    <w:rsid w:val="00601A44"/>
    <w:rsid w:val="00601AA8"/>
    <w:rsid w:val="00601C89"/>
    <w:rsid w:val="00601D52"/>
    <w:rsid w:val="00601E99"/>
    <w:rsid w:val="006020AB"/>
    <w:rsid w:val="006021FC"/>
    <w:rsid w:val="00602322"/>
    <w:rsid w:val="00602373"/>
    <w:rsid w:val="00602512"/>
    <w:rsid w:val="0060261F"/>
    <w:rsid w:val="006027B0"/>
    <w:rsid w:val="00602851"/>
    <w:rsid w:val="00602950"/>
    <w:rsid w:val="00602968"/>
    <w:rsid w:val="006029F3"/>
    <w:rsid w:val="00602AD4"/>
    <w:rsid w:val="00602B58"/>
    <w:rsid w:val="00602D80"/>
    <w:rsid w:val="00602DD3"/>
    <w:rsid w:val="00602DDA"/>
    <w:rsid w:val="00602E1C"/>
    <w:rsid w:val="00602EBB"/>
    <w:rsid w:val="00602F04"/>
    <w:rsid w:val="00602F35"/>
    <w:rsid w:val="0060346A"/>
    <w:rsid w:val="006036B4"/>
    <w:rsid w:val="006037CE"/>
    <w:rsid w:val="006039FC"/>
    <w:rsid w:val="00603B91"/>
    <w:rsid w:val="00603BD8"/>
    <w:rsid w:val="00604026"/>
    <w:rsid w:val="0060404B"/>
    <w:rsid w:val="00604155"/>
    <w:rsid w:val="006042CD"/>
    <w:rsid w:val="006042DF"/>
    <w:rsid w:val="006044E5"/>
    <w:rsid w:val="006047A9"/>
    <w:rsid w:val="006048F1"/>
    <w:rsid w:val="00604938"/>
    <w:rsid w:val="00604AA0"/>
    <w:rsid w:val="00604CE8"/>
    <w:rsid w:val="00605005"/>
    <w:rsid w:val="00605081"/>
    <w:rsid w:val="00605405"/>
    <w:rsid w:val="0060544E"/>
    <w:rsid w:val="00605860"/>
    <w:rsid w:val="00605907"/>
    <w:rsid w:val="00605C3C"/>
    <w:rsid w:val="00605D41"/>
    <w:rsid w:val="00605F66"/>
    <w:rsid w:val="00606181"/>
    <w:rsid w:val="006062C3"/>
    <w:rsid w:val="006066B4"/>
    <w:rsid w:val="0060670A"/>
    <w:rsid w:val="00606748"/>
    <w:rsid w:val="00606B27"/>
    <w:rsid w:val="00606B8E"/>
    <w:rsid w:val="00606E74"/>
    <w:rsid w:val="0060728D"/>
    <w:rsid w:val="00607325"/>
    <w:rsid w:val="006073F4"/>
    <w:rsid w:val="0060740D"/>
    <w:rsid w:val="00607591"/>
    <w:rsid w:val="006075AB"/>
    <w:rsid w:val="00607986"/>
    <w:rsid w:val="00607F19"/>
    <w:rsid w:val="00610151"/>
    <w:rsid w:val="00610350"/>
    <w:rsid w:val="006107C3"/>
    <w:rsid w:val="006107E6"/>
    <w:rsid w:val="00610824"/>
    <w:rsid w:val="00610A31"/>
    <w:rsid w:val="00610AB4"/>
    <w:rsid w:val="00610EB5"/>
    <w:rsid w:val="006111D3"/>
    <w:rsid w:val="0061154F"/>
    <w:rsid w:val="00611566"/>
    <w:rsid w:val="00611AEC"/>
    <w:rsid w:val="00611AF6"/>
    <w:rsid w:val="00611BCE"/>
    <w:rsid w:val="00611C4C"/>
    <w:rsid w:val="00611CAF"/>
    <w:rsid w:val="00611F1E"/>
    <w:rsid w:val="00612085"/>
    <w:rsid w:val="00612541"/>
    <w:rsid w:val="0061272A"/>
    <w:rsid w:val="00612755"/>
    <w:rsid w:val="00612794"/>
    <w:rsid w:val="006127F8"/>
    <w:rsid w:val="00612939"/>
    <w:rsid w:val="00612BEB"/>
    <w:rsid w:val="00612D62"/>
    <w:rsid w:val="00612EA3"/>
    <w:rsid w:val="00613152"/>
    <w:rsid w:val="006131A2"/>
    <w:rsid w:val="00613430"/>
    <w:rsid w:val="00613635"/>
    <w:rsid w:val="00613686"/>
    <w:rsid w:val="00613847"/>
    <w:rsid w:val="006139CD"/>
    <w:rsid w:val="00613ABE"/>
    <w:rsid w:val="00613B76"/>
    <w:rsid w:val="00613D1C"/>
    <w:rsid w:val="00613F75"/>
    <w:rsid w:val="00613FF5"/>
    <w:rsid w:val="00614334"/>
    <w:rsid w:val="006143C8"/>
    <w:rsid w:val="00614742"/>
    <w:rsid w:val="006148D7"/>
    <w:rsid w:val="00614A88"/>
    <w:rsid w:val="00614AEC"/>
    <w:rsid w:val="00614BF1"/>
    <w:rsid w:val="00614D8A"/>
    <w:rsid w:val="00614FB3"/>
    <w:rsid w:val="00615098"/>
    <w:rsid w:val="00615192"/>
    <w:rsid w:val="006153CE"/>
    <w:rsid w:val="006153F6"/>
    <w:rsid w:val="006154C6"/>
    <w:rsid w:val="0061553F"/>
    <w:rsid w:val="006155A9"/>
    <w:rsid w:val="0061560B"/>
    <w:rsid w:val="00615B94"/>
    <w:rsid w:val="00616039"/>
    <w:rsid w:val="006162E7"/>
    <w:rsid w:val="0061630A"/>
    <w:rsid w:val="006163A0"/>
    <w:rsid w:val="006163E1"/>
    <w:rsid w:val="006164C4"/>
    <w:rsid w:val="0061659C"/>
    <w:rsid w:val="00616778"/>
    <w:rsid w:val="00616939"/>
    <w:rsid w:val="006169BB"/>
    <w:rsid w:val="00616FBB"/>
    <w:rsid w:val="00617047"/>
    <w:rsid w:val="00617075"/>
    <w:rsid w:val="00617470"/>
    <w:rsid w:val="00617620"/>
    <w:rsid w:val="0061765B"/>
    <w:rsid w:val="00617810"/>
    <w:rsid w:val="00617A30"/>
    <w:rsid w:val="00617AA9"/>
    <w:rsid w:val="00617D0E"/>
    <w:rsid w:val="00617FA6"/>
    <w:rsid w:val="00620035"/>
    <w:rsid w:val="006200CF"/>
    <w:rsid w:val="006201D2"/>
    <w:rsid w:val="00620644"/>
    <w:rsid w:val="0062095A"/>
    <w:rsid w:val="00620A0E"/>
    <w:rsid w:val="00620AC8"/>
    <w:rsid w:val="00620B1B"/>
    <w:rsid w:val="00621445"/>
    <w:rsid w:val="006216D1"/>
    <w:rsid w:val="0062199F"/>
    <w:rsid w:val="00621A55"/>
    <w:rsid w:val="00621C15"/>
    <w:rsid w:val="00621DB6"/>
    <w:rsid w:val="00621F7B"/>
    <w:rsid w:val="0062218E"/>
    <w:rsid w:val="00622584"/>
    <w:rsid w:val="00622614"/>
    <w:rsid w:val="00622A78"/>
    <w:rsid w:val="00622AF5"/>
    <w:rsid w:val="00622B2E"/>
    <w:rsid w:val="00622B42"/>
    <w:rsid w:val="00622BEB"/>
    <w:rsid w:val="00622C22"/>
    <w:rsid w:val="00622C45"/>
    <w:rsid w:val="006232F8"/>
    <w:rsid w:val="00623321"/>
    <w:rsid w:val="006238B0"/>
    <w:rsid w:val="00623B9E"/>
    <w:rsid w:val="00623D90"/>
    <w:rsid w:val="00623E0A"/>
    <w:rsid w:val="00623F1F"/>
    <w:rsid w:val="006241F0"/>
    <w:rsid w:val="006241FA"/>
    <w:rsid w:val="00624301"/>
    <w:rsid w:val="00624409"/>
    <w:rsid w:val="006244B3"/>
    <w:rsid w:val="00624706"/>
    <w:rsid w:val="006249EF"/>
    <w:rsid w:val="00624B88"/>
    <w:rsid w:val="00624E0A"/>
    <w:rsid w:val="0062502A"/>
    <w:rsid w:val="00625045"/>
    <w:rsid w:val="0062513D"/>
    <w:rsid w:val="0062517E"/>
    <w:rsid w:val="0062539F"/>
    <w:rsid w:val="0062554A"/>
    <w:rsid w:val="00625FBE"/>
    <w:rsid w:val="006263AC"/>
    <w:rsid w:val="0062654D"/>
    <w:rsid w:val="0062663F"/>
    <w:rsid w:val="006266DD"/>
    <w:rsid w:val="00626896"/>
    <w:rsid w:val="00626DC4"/>
    <w:rsid w:val="0062707A"/>
    <w:rsid w:val="006270AE"/>
    <w:rsid w:val="006275FD"/>
    <w:rsid w:val="00627655"/>
    <w:rsid w:val="00627C0C"/>
    <w:rsid w:val="00627E2E"/>
    <w:rsid w:val="00627EC2"/>
    <w:rsid w:val="00630195"/>
    <w:rsid w:val="006301A8"/>
    <w:rsid w:val="006303AE"/>
    <w:rsid w:val="00630629"/>
    <w:rsid w:val="00630906"/>
    <w:rsid w:val="00630B58"/>
    <w:rsid w:val="0063122C"/>
    <w:rsid w:val="0063126C"/>
    <w:rsid w:val="006313EC"/>
    <w:rsid w:val="00631657"/>
    <w:rsid w:val="0063194A"/>
    <w:rsid w:val="00631974"/>
    <w:rsid w:val="006319FF"/>
    <w:rsid w:val="00631AA0"/>
    <w:rsid w:val="00631DA3"/>
    <w:rsid w:val="00631F70"/>
    <w:rsid w:val="00632034"/>
    <w:rsid w:val="00632063"/>
    <w:rsid w:val="006320B3"/>
    <w:rsid w:val="00632391"/>
    <w:rsid w:val="00632755"/>
    <w:rsid w:val="0063275F"/>
    <w:rsid w:val="006328ED"/>
    <w:rsid w:val="006329D7"/>
    <w:rsid w:val="00632B1A"/>
    <w:rsid w:val="00632C05"/>
    <w:rsid w:val="00632EF7"/>
    <w:rsid w:val="006330E0"/>
    <w:rsid w:val="006332D9"/>
    <w:rsid w:val="006336B0"/>
    <w:rsid w:val="0063386E"/>
    <w:rsid w:val="00633B6F"/>
    <w:rsid w:val="00633BF9"/>
    <w:rsid w:val="00633D08"/>
    <w:rsid w:val="00633D68"/>
    <w:rsid w:val="00633F79"/>
    <w:rsid w:val="0063407E"/>
    <w:rsid w:val="006340AB"/>
    <w:rsid w:val="006341C1"/>
    <w:rsid w:val="00634396"/>
    <w:rsid w:val="00634713"/>
    <w:rsid w:val="00634AF3"/>
    <w:rsid w:val="00634C8D"/>
    <w:rsid w:val="00634F05"/>
    <w:rsid w:val="00634F62"/>
    <w:rsid w:val="0063500A"/>
    <w:rsid w:val="00635158"/>
    <w:rsid w:val="00635299"/>
    <w:rsid w:val="00635408"/>
    <w:rsid w:val="00635461"/>
    <w:rsid w:val="006359D5"/>
    <w:rsid w:val="006359F4"/>
    <w:rsid w:val="00635D21"/>
    <w:rsid w:val="00635E93"/>
    <w:rsid w:val="00636322"/>
    <w:rsid w:val="00636628"/>
    <w:rsid w:val="00636880"/>
    <w:rsid w:val="00636B2D"/>
    <w:rsid w:val="00636E88"/>
    <w:rsid w:val="00636F5F"/>
    <w:rsid w:val="00637065"/>
    <w:rsid w:val="006375C7"/>
    <w:rsid w:val="006377C3"/>
    <w:rsid w:val="00637A1A"/>
    <w:rsid w:val="00637A4C"/>
    <w:rsid w:val="00637BC8"/>
    <w:rsid w:val="00637EE8"/>
    <w:rsid w:val="006401C9"/>
    <w:rsid w:val="00640209"/>
    <w:rsid w:val="0064020D"/>
    <w:rsid w:val="006402F7"/>
    <w:rsid w:val="00640610"/>
    <w:rsid w:val="00640653"/>
    <w:rsid w:val="006407D3"/>
    <w:rsid w:val="0064088C"/>
    <w:rsid w:val="0064092D"/>
    <w:rsid w:val="00640E5C"/>
    <w:rsid w:val="0064103F"/>
    <w:rsid w:val="006410D0"/>
    <w:rsid w:val="0064110C"/>
    <w:rsid w:val="00641295"/>
    <w:rsid w:val="006413D0"/>
    <w:rsid w:val="00641543"/>
    <w:rsid w:val="00641569"/>
    <w:rsid w:val="00641819"/>
    <w:rsid w:val="006418F0"/>
    <w:rsid w:val="0064196F"/>
    <w:rsid w:val="00641978"/>
    <w:rsid w:val="00641990"/>
    <w:rsid w:val="00641CCB"/>
    <w:rsid w:val="00641D79"/>
    <w:rsid w:val="006422D5"/>
    <w:rsid w:val="006425DC"/>
    <w:rsid w:val="00642629"/>
    <w:rsid w:val="006426E0"/>
    <w:rsid w:val="006428E7"/>
    <w:rsid w:val="00642D97"/>
    <w:rsid w:val="00642EF3"/>
    <w:rsid w:val="00642FBC"/>
    <w:rsid w:val="0064318F"/>
    <w:rsid w:val="00643331"/>
    <w:rsid w:val="00643458"/>
    <w:rsid w:val="00643758"/>
    <w:rsid w:val="006437E3"/>
    <w:rsid w:val="00643BA6"/>
    <w:rsid w:val="00643E7B"/>
    <w:rsid w:val="00643EDB"/>
    <w:rsid w:val="00643F21"/>
    <w:rsid w:val="00644256"/>
    <w:rsid w:val="00644263"/>
    <w:rsid w:val="006442E1"/>
    <w:rsid w:val="006443FB"/>
    <w:rsid w:val="006444B7"/>
    <w:rsid w:val="006446C3"/>
    <w:rsid w:val="00644C4C"/>
    <w:rsid w:val="00644C99"/>
    <w:rsid w:val="00644FBF"/>
    <w:rsid w:val="006451CC"/>
    <w:rsid w:val="006452E3"/>
    <w:rsid w:val="006454BF"/>
    <w:rsid w:val="00645546"/>
    <w:rsid w:val="00645633"/>
    <w:rsid w:val="006456A5"/>
    <w:rsid w:val="00645745"/>
    <w:rsid w:val="006457A3"/>
    <w:rsid w:val="00645A04"/>
    <w:rsid w:val="00645BC0"/>
    <w:rsid w:val="00645F1A"/>
    <w:rsid w:val="006461CD"/>
    <w:rsid w:val="00646550"/>
    <w:rsid w:val="0064656D"/>
    <w:rsid w:val="00646822"/>
    <w:rsid w:val="00646A1A"/>
    <w:rsid w:val="00646CB8"/>
    <w:rsid w:val="00646CC3"/>
    <w:rsid w:val="00646F61"/>
    <w:rsid w:val="0064747A"/>
    <w:rsid w:val="00647810"/>
    <w:rsid w:val="00647942"/>
    <w:rsid w:val="00647978"/>
    <w:rsid w:val="00647BA5"/>
    <w:rsid w:val="00647BD2"/>
    <w:rsid w:val="00647BFA"/>
    <w:rsid w:val="00647EC6"/>
    <w:rsid w:val="00647F2A"/>
    <w:rsid w:val="00650239"/>
    <w:rsid w:val="0065043C"/>
    <w:rsid w:val="006504CD"/>
    <w:rsid w:val="0065077A"/>
    <w:rsid w:val="006508C6"/>
    <w:rsid w:val="00650905"/>
    <w:rsid w:val="00650AF8"/>
    <w:rsid w:val="00650B2C"/>
    <w:rsid w:val="00650BAB"/>
    <w:rsid w:val="00650DDF"/>
    <w:rsid w:val="00650E18"/>
    <w:rsid w:val="00650E5C"/>
    <w:rsid w:val="00650ED4"/>
    <w:rsid w:val="00651045"/>
    <w:rsid w:val="006510FB"/>
    <w:rsid w:val="00651119"/>
    <w:rsid w:val="00651157"/>
    <w:rsid w:val="00651371"/>
    <w:rsid w:val="006514C9"/>
    <w:rsid w:val="006514E5"/>
    <w:rsid w:val="0065167B"/>
    <w:rsid w:val="006517DA"/>
    <w:rsid w:val="006519AD"/>
    <w:rsid w:val="006519F5"/>
    <w:rsid w:val="00651AD8"/>
    <w:rsid w:val="00651B5A"/>
    <w:rsid w:val="00651BBA"/>
    <w:rsid w:val="00651C61"/>
    <w:rsid w:val="00651D69"/>
    <w:rsid w:val="00651D93"/>
    <w:rsid w:val="00651FD0"/>
    <w:rsid w:val="0065209A"/>
    <w:rsid w:val="006520AC"/>
    <w:rsid w:val="00652109"/>
    <w:rsid w:val="00652286"/>
    <w:rsid w:val="006527E6"/>
    <w:rsid w:val="00652B09"/>
    <w:rsid w:val="00652C6A"/>
    <w:rsid w:val="00653023"/>
    <w:rsid w:val="0065303C"/>
    <w:rsid w:val="00653058"/>
    <w:rsid w:val="0065309F"/>
    <w:rsid w:val="006530E1"/>
    <w:rsid w:val="0065321A"/>
    <w:rsid w:val="006532CD"/>
    <w:rsid w:val="006533FE"/>
    <w:rsid w:val="00653540"/>
    <w:rsid w:val="0065375D"/>
    <w:rsid w:val="00653EFB"/>
    <w:rsid w:val="006542D3"/>
    <w:rsid w:val="00654335"/>
    <w:rsid w:val="00654396"/>
    <w:rsid w:val="0065448A"/>
    <w:rsid w:val="006545B1"/>
    <w:rsid w:val="00654761"/>
    <w:rsid w:val="0065476F"/>
    <w:rsid w:val="006549DC"/>
    <w:rsid w:val="00654B73"/>
    <w:rsid w:val="00654D6E"/>
    <w:rsid w:val="00654E5A"/>
    <w:rsid w:val="006550FA"/>
    <w:rsid w:val="00655368"/>
    <w:rsid w:val="006553A1"/>
    <w:rsid w:val="006555A2"/>
    <w:rsid w:val="006555E9"/>
    <w:rsid w:val="006556C5"/>
    <w:rsid w:val="00655F14"/>
    <w:rsid w:val="0065611B"/>
    <w:rsid w:val="00656127"/>
    <w:rsid w:val="0065624B"/>
    <w:rsid w:val="0065630D"/>
    <w:rsid w:val="0065681A"/>
    <w:rsid w:val="00656872"/>
    <w:rsid w:val="006568EC"/>
    <w:rsid w:val="00656D83"/>
    <w:rsid w:val="00656F5E"/>
    <w:rsid w:val="00656FBF"/>
    <w:rsid w:val="00657169"/>
    <w:rsid w:val="006571E9"/>
    <w:rsid w:val="006578A8"/>
    <w:rsid w:val="00657C63"/>
    <w:rsid w:val="00657CED"/>
    <w:rsid w:val="00657CF4"/>
    <w:rsid w:val="00660059"/>
    <w:rsid w:val="00660156"/>
    <w:rsid w:val="0066036B"/>
    <w:rsid w:val="00660D07"/>
    <w:rsid w:val="00660DEC"/>
    <w:rsid w:val="00660EC5"/>
    <w:rsid w:val="00660ECC"/>
    <w:rsid w:val="00660F01"/>
    <w:rsid w:val="00660F55"/>
    <w:rsid w:val="00660FD5"/>
    <w:rsid w:val="00661019"/>
    <w:rsid w:val="00661203"/>
    <w:rsid w:val="00661206"/>
    <w:rsid w:val="0066129D"/>
    <w:rsid w:val="00661436"/>
    <w:rsid w:val="006616C7"/>
    <w:rsid w:val="0066176E"/>
    <w:rsid w:val="006617B6"/>
    <w:rsid w:val="00661862"/>
    <w:rsid w:val="00661CC3"/>
    <w:rsid w:val="006625F3"/>
    <w:rsid w:val="00662846"/>
    <w:rsid w:val="0066284B"/>
    <w:rsid w:val="00662A2B"/>
    <w:rsid w:val="00662B60"/>
    <w:rsid w:val="00662C83"/>
    <w:rsid w:val="00662D07"/>
    <w:rsid w:val="00662E4E"/>
    <w:rsid w:val="00662E93"/>
    <w:rsid w:val="00663179"/>
    <w:rsid w:val="006631D2"/>
    <w:rsid w:val="006633A9"/>
    <w:rsid w:val="006635A8"/>
    <w:rsid w:val="00663600"/>
    <w:rsid w:val="006636B3"/>
    <w:rsid w:val="00663A92"/>
    <w:rsid w:val="00663AA4"/>
    <w:rsid w:val="00663CB5"/>
    <w:rsid w:val="00663D47"/>
    <w:rsid w:val="006645DC"/>
    <w:rsid w:val="006646ED"/>
    <w:rsid w:val="0066498F"/>
    <w:rsid w:val="00664B48"/>
    <w:rsid w:val="00664C21"/>
    <w:rsid w:val="00664CB0"/>
    <w:rsid w:val="0066500B"/>
    <w:rsid w:val="00665197"/>
    <w:rsid w:val="0066531F"/>
    <w:rsid w:val="00665420"/>
    <w:rsid w:val="00665807"/>
    <w:rsid w:val="0066599D"/>
    <w:rsid w:val="00665C24"/>
    <w:rsid w:val="00665C70"/>
    <w:rsid w:val="00665CC1"/>
    <w:rsid w:val="00665E8F"/>
    <w:rsid w:val="00665EB3"/>
    <w:rsid w:val="00665F8F"/>
    <w:rsid w:val="00665FC5"/>
    <w:rsid w:val="006664AB"/>
    <w:rsid w:val="006664B0"/>
    <w:rsid w:val="0066658A"/>
    <w:rsid w:val="006666F1"/>
    <w:rsid w:val="00666871"/>
    <w:rsid w:val="00666AD0"/>
    <w:rsid w:val="00666BA0"/>
    <w:rsid w:val="00666BB4"/>
    <w:rsid w:val="00666DDC"/>
    <w:rsid w:val="00666E69"/>
    <w:rsid w:val="00666F45"/>
    <w:rsid w:val="0066729A"/>
    <w:rsid w:val="006673E2"/>
    <w:rsid w:val="0066747C"/>
    <w:rsid w:val="00667627"/>
    <w:rsid w:val="00667848"/>
    <w:rsid w:val="00667881"/>
    <w:rsid w:val="006678DF"/>
    <w:rsid w:val="00667C0B"/>
    <w:rsid w:val="00667D17"/>
    <w:rsid w:val="00667D5A"/>
    <w:rsid w:val="00667DC4"/>
    <w:rsid w:val="00670105"/>
    <w:rsid w:val="00670192"/>
    <w:rsid w:val="00670280"/>
    <w:rsid w:val="0067033D"/>
    <w:rsid w:val="00670361"/>
    <w:rsid w:val="0067047B"/>
    <w:rsid w:val="006704E8"/>
    <w:rsid w:val="006705B8"/>
    <w:rsid w:val="006708C3"/>
    <w:rsid w:val="00670918"/>
    <w:rsid w:val="00670A7C"/>
    <w:rsid w:val="00670E46"/>
    <w:rsid w:val="00670F2E"/>
    <w:rsid w:val="006710E4"/>
    <w:rsid w:val="00671192"/>
    <w:rsid w:val="0067189C"/>
    <w:rsid w:val="006718F6"/>
    <w:rsid w:val="00671AEA"/>
    <w:rsid w:val="00671C29"/>
    <w:rsid w:val="00671C5F"/>
    <w:rsid w:val="00671DC7"/>
    <w:rsid w:val="00672663"/>
    <w:rsid w:val="00672689"/>
    <w:rsid w:val="006726D1"/>
    <w:rsid w:val="006727B3"/>
    <w:rsid w:val="00672A29"/>
    <w:rsid w:val="00673074"/>
    <w:rsid w:val="006730B5"/>
    <w:rsid w:val="0067321F"/>
    <w:rsid w:val="0067325F"/>
    <w:rsid w:val="0067327C"/>
    <w:rsid w:val="0067361E"/>
    <w:rsid w:val="0067371B"/>
    <w:rsid w:val="00673824"/>
    <w:rsid w:val="00673871"/>
    <w:rsid w:val="00673B8A"/>
    <w:rsid w:val="00673D27"/>
    <w:rsid w:val="00673E85"/>
    <w:rsid w:val="00673F30"/>
    <w:rsid w:val="0067407D"/>
    <w:rsid w:val="006741AB"/>
    <w:rsid w:val="006741CF"/>
    <w:rsid w:val="006742C1"/>
    <w:rsid w:val="00674344"/>
    <w:rsid w:val="00674389"/>
    <w:rsid w:val="00674395"/>
    <w:rsid w:val="00674876"/>
    <w:rsid w:val="00674F66"/>
    <w:rsid w:val="00674FB0"/>
    <w:rsid w:val="006750BE"/>
    <w:rsid w:val="0067524C"/>
    <w:rsid w:val="0067532B"/>
    <w:rsid w:val="006753F7"/>
    <w:rsid w:val="0067561E"/>
    <w:rsid w:val="00675650"/>
    <w:rsid w:val="006759DC"/>
    <w:rsid w:val="00675A5D"/>
    <w:rsid w:val="00675A78"/>
    <w:rsid w:val="00676192"/>
    <w:rsid w:val="0067672B"/>
    <w:rsid w:val="00676843"/>
    <w:rsid w:val="0067694A"/>
    <w:rsid w:val="00676BFF"/>
    <w:rsid w:val="00676C17"/>
    <w:rsid w:val="0067724A"/>
    <w:rsid w:val="0067729C"/>
    <w:rsid w:val="00677883"/>
    <w:rsid w:val="00677980"/>
    <w:rsid w:val="00677C46"/>
    <w:rsid w:val="00677D49"/>
    <w:rsid w:val="00677EC3"/>
    <w:rsid w:val="006800D5"/>
    <w:rsid w:val="0068016B"/>
    <w:rsid w:val="0068038F"/>
    <w:rsid w:val="00680422"/>
    <w:rsid w:val="006806E1"/>
    <w:rsid w:val="00680838"/>
    <w:rsid w:val="00680A64"/>
    <w:rsid w:val="00680EB4"/>
    <w:rsid w:val="00680FAB"/>
    <w:rsid w:val="00680FD0"/>
    <w:rsid w:val="00681027"/>
    <w:rsid w:val="00681100"/>
    <w:rsid w:val="00681211"/>
    <w:rsid w:val="00681255"/>
    <w:rsid w:val="006812D7"/>
    <w:rsid w:val="00681305"/>
    <w:rsid w:val="006818F3"/>
    <w:rsid w:val="00681919"/>
    <w:rsid w:val="006820E7"/>
    <w:rsid w:val="00682281"/>
    <w:rsid w:val="0068242A"/>
    <w:rsid w:val="006824BD"/>
    <w:rsid w:val="00682524"/>
    <w:rsid w:val="00682796"/>
    <w:rsid w:val="006828F2"/>
    <w:rsid w:val="0068297A"/>
    <w:rsid w:val="00682A50"/>
    <w:rsid w:val="00682B94"/>
    <w:rsid w:val="00682D5D"/>
    <w:rsid w:val="00682F0E"/>
    <w:rsid w:val="00682F4B"/>
    <w:rsid w:val="006831DA"/>
    <w:rsid w:val="00683308"/>
    <w:rsid w:val="0068346F"/>
    <w:rsid w:val="006834C2"/>
    <w:rsid w:val="00683545"/>
    <w:rsid w:val="006835A9"/>
    <w:rsid w:val="00683642"/>
    <w:rsid w:val="0068364C"/>
    <w:rsid w:val="00683910"/>
    <w:rsid w:val="006839C6"/>
    <w:rsid w:val="00683BD9"/>
    <w:rsid w:val="00683D19"/>
    <w:rsid w:val="00683E40"/>
    <w:rsid w:val="00683FDE"/>
    <w:rsid w:val="0068406C"/>
    <w:rsid w:val="006841EB"/>
    <w:rsid w:val="0068428C"/>
    <w:rsid w:val="006845F0"/>
    <w:rsid w:val="0068473D"/>
    <w:rsid w:val="006848F6"/>
    <w:rsid w:val="0068491E"/>
    <w:rsid w:val="00684A38"/>
    <w:rsid w:val="00684F49"/>
    <w:rsid w:val="0068511C"/>
    <w:rsid w:val="006851EC"/>
    <w:rsid w:val="00685246"/>
    <w:rsid w:val="00685E10"/>
    <w:rsid w:val="006868ED"/>
    <w:rsid w:val="00686B40"/>
    <w:rsid w:val="00686E95"/>
    <w:rsid w:val="00686FAC"/>
    <w:rsid w:val="00686FD8"/>
    <w:rsid w:val="0068704F"/>
    <w:rsid w:val="006870B5"/>
    <w:rsid w:val="006872BA"/>
    <w:rsid w:val="006872FA"/>
    <w:rsid w:val="00687371"/>
    <w:rsid w:val="00687558"/>
    <w:rsid w:val="00687718"/>
    <w:rsid w:val="006877EB"/>
    <w:rsid w:val="00687FEC"/>
    <w:rsid w:val="006901BA"/>
    <w:rsid w:val="00690228"/>
    <w:rsid w:val="00690298"/>
    <w:rsid w:val="006908AF"/>
    <w:rsid w:val="0069091C"/>
    <w:rsid w:val="006912A9"/>
    <w:rsid w:val="0069143F"/>
    <w:rsid w:val="006916D8"/>
    <w:rsid w:val="006916EF"/>
    <w:rsid w:val="00691968"/>
    <w:rsid w:val="00691C37"/>
    <w:rsid w:val="00691D2D"/>
    <w:rsid w:val="00691E2B"/>
    <w:rsid w:val="00691EE7"/>
    <w:rsid w:val="00691F69"/>
    <w:rsid w:val="0069281C"/>
    <w:rsid w:val="0069293B"/>
    <w:rsid w:val="00692C03"/>
    <w:rsid w:val="00692D37"/>
    <w:rsid w:val="00692EE0"/>
    <w:rsid w:val="00692FB6"/>
    <w:rsid w:val="00693174"/>
    <w:rsid w:val="006938B8"/>
    <w:rsid w:val="00693B4F"/>
    <w:rsid w:val="00693D09"/>
    <w:rsid w:val="00693E40"/>
    <w:rsid w:val="00693ED7"/>
    <w:rsid w:val="00694024"/>
    <w:rsid w:val="00694196"/>
    <w:rsid w:val="006944B8"/>
    <w:rsid w:val="0069469C"/>
    <w:rsid w:val="006947FB"/>
    <w:rsid w:val="006949C4"/>
    <w:rsid w:val="00694B08"/>
    <w:rsid w:val="00694C47"/>
    <w:rsid w:val="00694E65"/>
    <w:rsid w:val="00694F72"/>
    <w:rsid w:val="006950E0"/>
    <w:rsid w:val="00695209"/>
    <w:rsid w:val="00695473"/>
    <w:rsid w:val="0069553F"/>
    <w:rsid w:val="006955FA"/>
    <w:rsid w:val="00695691"/>
    <w:rsid w:val="006957D1"/>
    <w:rsid w:val="00695E0F"/>
    <w:rsid w:val="00696104"/>
    <w:rsid w:val="0069641E"/>
    <w:rsid w:val="0069645B"/>
    <w:rsid w:val="00696469"/>
    <w:rsid w:val="0069664E"/>
    <w:rsid w:val="0069666D"/>
    <w:rsid w:val="006968F5"/>
    <w:rsid w:val="0069696F"/>
    <w:rsid w:val="00696C3F"/>
    <w:rsid w:val="00696CD5"/>
    <w:rsid w:val="00696D84"/>
    <w:rsid w:val="00696E4A"/>
    <w:rsid w:val="00696ED0"/>
    <w:rsid w:val="0069708F"/>
    <w:rsid w:val="00697135"/>
    <w:rsid w:val="00697153"/>
    <w:rsid w:val="00697668"/>
    <w:rsid w:val="00697697"/>
    <w:rsid w:val="006976E6"/>
    <w:rsid w:val="0069777D"/>
    <w:rsid w:val="00697803"/>
    <w:rsid w:val="00697858"/>
    <w:rsid w:val="00697984"/>
    <w:rsid w:val="00697A4A"/>
    <w:rsid w:val="00697C03"/>
    <w:rsid w:val="00697DB2"/>
    <w:rsid w:val="00697ED9"/>
    <w:rsid w:val="006A0132"/>
    <w:rsid w:val="006A017C"/>
    <w:rsid w:val="006A059D"/>
    <w:rsid w:val="006A05B8"/>
    <w:rsid w:val="006A0631"/>
    <w:rsid w:val="006A07C4"/>
    <w:rsid w:val="006A09CD"/>
    <w:rsid w:val="006A09E4"/>
    <w:rsid w:val="006A0A61"/>
    <w:rsid w:val="006A0C71"/>
    <w:rsid w:val="006A0C7B"/>
    <w:rsid w:val="006A0CDE"/>
    <w:rsid w:val="006A1055"/>
    <w:rsid w:val="006A125B"/>
    <w:rsid w:val="006A146E"/>
    <w:rsid w:val="006A1551"/>
    <w:rsid w:val="006A1768"/>
    <w:rsid w:val="006A1804"/>
    <w:rsid w:val="006A1A51"/>
    <w:rsid w:val="006A1C72"/>
    <w:rsid w:val="006A1D69"/>
    <w:rsid w:val="006A1EC5"/>
    <w:rsid w:val="006A1F57"/>
    <w:rsid w:val="006A1F9B"/>
    <w:rsid w:val="006A2320"/>
    <w:rsid w:val="006A2410"/>
    <w:rsid w:val="006A2457"/>
    <w:rsid w:val="006A267A"/>
    <w:rsid w:val="006A2765"/>
    <w:rsid w:val="006A290E"/>
    <w:rsid w:val="006A2E24"/>
    <w:rsid w:val="006A347A"/>
    <w:rsid w:val="006A35B2"/>
    <w:rsid w:val="006A37A6"/>
    <w:rsid w:val="006A3965"/>
    <w:rsid w:val="006A39FD"/>
    <w:rsid w:val="006A3A21"/>
    <w:rsid w:val="006A3A45"/>
    <w:rsid w:val="006A3A85"/>
    <w:rsid w:val="006A3AA0"/>
    <w:rsid w:val="006A3ABA"/>
    <w:rsid w:val="006A3C57"/>
    <w:rsid w:val="006A3CC0"/>
    <w:rsid w:val="006A3DCF"/>
    <w:rsid w:val="006A3E67"/>
    <w:rsid w:val="006A3FDB"/>
    <w:rsid w:val="006A40CC"/>
    <w:rsid w:val="006A42B9"/>
    <w:rsid w:val="006A45FF"/>
    <w:rsid w:val="006A4AEA"/>
    <w:rsid w:val="006A4C00"/>
    <w:rsid w:val="006A4C1F"/>
    <w:rsid w:val="006A4C5D"/>
    <w:rsid w:val="006A533C"/>
    <w:rsid w:val="006A5587"/>
    <w:rsid w:val="006A5B77"/>
    <w:rsid w:val="006A5C82"/>
    <w:rsid w:val="006A5D07"/>
    <w:rsid w:val="006A5F06"/>
    <w:rsid w:val="006A60F9"/>
    <w:rsid w:val="006A6465"/>
    <w:rsid w:val="006A6A0C"/>
    <w:rsid w:val="006A6AD3"/>
    <w:rsid w:val="006A702B"/>
    <w:rsid w:val="006A706C"/>
    <w:rsid w:val="006A707A"/>
    <w:rsid w:val="006A7360"/>
    <w:rsid w:val="006A74E9"/>
    <w:rsid w:val="006A7657"/>
    <w:rsid w:val="006A76D1"/>
    <w:rsid w:val="006A7A51"/>
    <w:rsid w:val="006A7B42"/>
    <w:rsid w:val="006A7BBA"/>
    <w:rsid w:val="006A7BD7"/>
    <w:rsid w:val="006A7C20"/>
    <w:rsid w:val="006A7D0F"/>
    <w:rsid w:val="006A7DC3"/>
    <w:rsid w:val="006A7FC6"/>
    <w:rsid w:val="006B002A"/>
    <w:rsid w:val="006B006F"/>
    <w:rsid w:val="006B010A"/>
    <w:rsid w:val="006B029B"/>
    <w:rsid w:val="006B05AC"/>
    <w:rsid w:val="006B062B"/>
    <w:rsid w:val="006B0656"/>
    <w:rsid w:val="006B06EA"/>
    <w:rsid w:val="006B089D"/>
    <w:rsid w:val="006B092F"/>
    <w:rsid w:val="006B09D1"/>
    <w:rsid w:val="006B0A10"/>
    <w:rsid w:val="006B0B2D"/>
    <w:rsid w:val="006B0C5A"/>
    <w:rsid w:val="006B0CF4"/>
    <w:rsid w:val="006B0D0F"/>
    <w:rsid w:val="006B0D4D"/>
    <w:rsid w:val="006B116B"/>
    <w:rsid w:val="006B1435"/>
    <w:rsid w:val="006B1560"/>
    <w:rsid w:val="006B1711"/>
    <w:rsid w:val="006B17CA"/>
    <w:rsid w:val="006B1CBE"/>
    <w:rsid w:val="006B1E7C"/>
    <w:rsid w:val="006B1F6C"/>
    <w:rsid w:val="006B206D"/>
    <w:rsid w:val="006B212B"/>
    <w:rsid w:val="006B219A"/>
    <w:rsid w:val="006B2308"/>
    <w:rsid w:val="006B23BF"/>
    <w:rsid w:val="006B270F"/>
    <w:rsid w:val="006B2A08"/>
    <w:rsid w:val="006B2BDF"/>
    <w:rsid w:val="006B36BB"/>
    <w:rsid w:val="006B3D49"/>
    <w:rsid w:val="006B4421"/>
    <w:rsid w:val="006B4471"/>
    <w:rsid w:val="006B4560"/>
    <w:rsid w:val="006B459A"/>
    <w:rsid w:val="006B4636"/>
    <w:rsid w:val="006B4AE1"/>
    <w:rsid w:val="006B4C0E"/>
    <w:rsid w:val="006B4C8B"/>
    <w:rsid w:val="006B4F4D"/>
    <w:rsid w:val="006B506C"/>
    <w:rsid w:val="006B50BE"/>
    <w:rsid w:val="006B50CF"/>
    <w:rsid w:val="006B5287"/>
    <w:rsid w:val="006B541F"/>
    <w:rsid w:val="006B543C"/>
    <w:rsid w:val="006B548C"/>
    <w:rsid w:val="006B54B7"/>
    <w:rsid w:val="006B58B2"/>
    <w:rsid w:val="006B5CD2"/>
    <w:rsid w:val="006B6075"/>
    <w:rsid w:val="006B64E8"/>
    <w:rsid w:val="006B66C1"/>
    <w:rsid w:val="006B683A"/>
    <w:rsid w:val="006B6971"/>
    <w:rsid w:val="006B6975"/>
    <w:rsid w:val="006B6A01"/>
    <w:rsid w:val="006B6ADF"/>
    <w:rsid w:val="006B6D62"/>
    <w:rsid w:val="006B7370"/>
    <w:rsid w:val="006B7484"/>
    <w:rsid w:val="006B7624"/>
    <w:rsid w:val="006B78DD"/>
    <w:rsid w:val="006B7987"/>
    <w:rsid w:val="006B79E7"/>
    <w:rsid w:val="006B7D44"/>
    <w:rsid w:val="006B7D7E"/>
    <w:rsid w:val="006C00B8"/>
    <w:rsid w:val="006C0524"/>
    <w:rsid w:val="006C05CB"/>
    <w:rsid w:val="006C09A4"/>
    <w:rsid w:val="006C0D6A"/>
    <w:rsid w:val="006C0EF4"/>
    <w:rsid w:val="006C117F"/>
    <w:rsid w:val="006C12D2"/>
    <w:rsid w:val="006C138F"/>
    <w:rsid w:val="006C147D"/>
    <w:rsid w:val="006C14BD"/>
    <w:rsid w:val="006C14C1"/>
    <w:rsid w:val="006C14D2"/>
    <w:rsid w:val="006C1569"/>
    <w:rsid w:val="006C1658"/>
    <w:rsid w:val="006C169D"/>
    <w:rsid w:val="006C16F7"/>
    <w:rsid w:val="006C1B5B"/>
    <w:rsid w:val="006C1DB7"/>
    <w:rsid w:val="006C1E11"/>
    <w:rsid w:val="006C2368"/>
    <w:rsid w:val="006C2585"/>
    <w:rsid w:val="006C25E9"/>
    <w:rsid w:val="006C26BB"/>
    <w:rsid w:val="006C29DE"/>
    <w:rsid w:val="006C2A07"/>
    <w:rsid w:val="006C2ACA"/>
    <w:rsid w:val="006C3170"/>
    <w:rsid w:val="006C32C5"/>
    <w:rsid w:val="006C3391"/>
    <w:rsid w:val="006C3402"/>
    <w:rsid w:val="006C34C1"/>
    <w:rsid w:val="006C39D1"/>
    <w:rsid w:val="006C3BC4"/>
    <w:rsid w:val="006C3BEB"/>
    <w:rsid w:val="006C3C85"/>
    <w:rsid w:val="006C3DB3"/>
    <w:rsid w:val="006C3E01"/>
    <w:rsid w:val="006C3F0E"/>
    <w:rsid w:val="006C402F"/>
    <w:rsid w:val="006C4279"/>
    <w:rsid w:val="006C4336"/>
    <w:rsid w:val="006C44D4"/>
    <w:rsid w:val="006C4552"/>
    <w:rsid w:val="006C45DA"/>
    <w:rsid w:val="006C4856"/>
    <w:rsid w:val="006C4A70"/>
    <w:rsid w:val="006C4EB7"/>
    <w:rsid w:val="006C5248"/>
    <w:rsid w:val="006C58F9"/>
    <w:rsid w:val="006C591F"/>
    <w:rsid w:val="006C5B59"/>
    <w:rsid w:val="006C5BBD"/>
    <w:rsid w:val="006C5D9E"/>
    <w:rsid w:val="006C5DBA"/>
    <w:rsid w:val="006C5E06"/>
    <w:rsid w:val="006C5F8B"/>
    <w:rsid w:val="006C61FF"/>
    <w:rsid w:val="006C6289"/>
    <w:rsid w:val="006C636F"/>
    <w:rsid w:val="006C653D"/>
    <w:rsid w:val="006C678C"/>
    <w:rsid w:val="006C6A15"/>
    <w:rsid w:val="006C6EA2"/>
    <w:rsid w:val="006C6EB1"/>
    <w:rsid w:val="006C6F38"/>
    <w:rsid w:val="006C71DD"/>
    <w:rsid w:val="006C72C6"/>
    <w:rsid w:val="006C75E2"/>
    <w:rsid w:val="006C7650"/>
    <w:rsid w:val="006C7851"/>
    <w:rsid w:val="006C7F81"/>
    <w:rsid w:val="006D002C"/>
    <w:rsid w:val="006D01A0"/>
    <w:rsid w:val="006D0A08"/>
    <w:rsid w:val="006D0DAD"/>
    <w:rsid w:val="006D10EA"/>
    <w:rsid w:val="006D121A"/>
    <w:rsid w:val="006D15D2"/>
    <w:rsid w:val="006D169A"/>
    <w:rsid w:val="006D16A9"/>
    <w:rsid w:val="006D1701"/>
    <w:rsid w:val="006D1754"/>
    <w:rsid w:val="006D1904"/>
    <w:rsid w:val="006D1D2B"/>
    <w:rsid w:val="006D1D7B"/>
    <w:rsid w:val="006D1DD8"/>
    <w:rsid w:val="006D2100"/>
    <w:rsid w:val="006D23CC"/>
    <w:rsid w:val="006D23E5"/>
    <w:rsid w:val="006D246C"/>
    <w:rsid w:val="006D298F"/>
    <w:rsid w:val="006D29DA"/>
    <w:rsid w:val="006D29F4"/>
    <w:rsid w:val="006D2AA0"/>
    <w:rsid w:val="006D2C5C"/>
    <w:rsid w:val="006D2CDA"/>
    <w:rsid w:val="006D2E5D"/>
    <w:rsid w:val="006D2E8B"/>
    <w:rsid w:val="006D30D3"/>
    <w:rsid w:val="006D30FC"/>
    <w:rsid w:val="006D3826"/>
    <w:rsid w:val="006D391E"/>
    <w:rsid w:val="006D39F2"/>
    <w:rsid w:val="006D3AD8"/>
    <w:rsid w:val="006D3AE2"/>
    <w:rsid w:val="006D3D9B"/>
    <w:rsid w:val="006D3DDA"/>
    <w:rsid w:val="006D41CD"/>
    <w:rsid w:val="006D42B3"/>
    <w:rsid w:val="006D4391"/>
    <w:rsid w:val="006D45DC"/>
    <w:rsid w:val="006D49EC"/>
    <w:rsid w:val="006D4BA6"/>
    <w:rsid w:val="006D4DFE"/>
    <w:rsid w:val="006D4E57"/>
    <w:rsid w:val="006D4F7D"/>
    <w:rsid w:val="006D50C3"/>
    <w:rsid w:val="006D50DB"/>
    <w:rsid w:val="006D51AB"/>
    <w:rsid w:val="006D5325"/>
    <w:rsid w:val="006D543A"/>
    <w:rsid w:val="006D546B"/>
    <w:rsid w:val="006D5647"/>
    <w:rsid w:val="006D5689"/>
    <w:rsid w:val="006D56AA"/>
    <w:rsid w:val="006D5859"/>
    <w:rsid w:val="006D5884"/>
    <w:rsid w:val="006D5B44"/>
    <w:rsid w:val="006D5CDF"/>
    <w:rsid w:val="006D5D9A"/>
    <w:rsid w:val="006D5EBC"/>
    <w:rsid w:val="006D6097"/>
    <w:rsid w:val="006D62AA"/>
    <w:rsid w:val="006D6485"/>
    <w:rsid w:val="006D64BD"/>
    <w:rsid w:val="006D65E9"/>
    <w:rsid w:val="006D68D0"/>
    <w:rsid w:val="006D6BC7"/>
    <w:rsid w:val="006D6C68"/>
    <w:rsid w:val="006D6C8D"/>
    <w:rsid w:val="006D6FF2"/>
    <w:rsid w:val="006D7237"/>
    <w:rsid w:val="006D72C1"/>
    <w:rsid w:val="006D756E"/>
    <w:rsid w:val="006D7680"/>
    <w:rsid w:val="006D76A1"/>
    <w:rsid w:val="006D76A4"/>
    <w:rsid w:val="006D77AC"/>
    <w:rsid w:val="006D7AFD"/>
    <w:rsid w:val="006D7B93"/>
    <w:rsid w:val="006D7D03"/>
    <w:rsid w:val="006D7E81"/>
    <w:rsid w:val="006E01AF"/>
    <w:rsid w:val="006E055B"/>
    <w:rsid w:val="006E07D3"/>
    <w:rsid w:val="006E0EB3"/>
    <w:rsid w:val="006E0F59"/>
    <w:rsid w:val="006E124C"/>
    <w:rsid w:val="006E1457"/>
    <w:rsid w:val="006E1488"/>
    <w:rsid w:val="006E1520"/>
    <w:rsid w:val="006E16C5"/>
    <w:rsid w:val="006E180E"/>
    <w:rsid w:val="006E1844"/>
    <w:rsid w:val="006E187B"/>
    <w:rsid w:val="006E1B26"/>
    <w:rsid w:val="006E1B36"/>
    <w:rsid w:val="006E1E72"/>
    <w:rsid w:val="006E1F43"/>
    <w:rsid w:val="006E225B"/>
    <w:rsid w:val="006E2BB2"/>
    <w:rsid w:val="006E2C90"/>
    <w:rsid w:val="006E2F44"/>
    <w:rsid w:val="006E2F5A"/>
    <w:rsid w:val="006E2FA2"/>
    <w:rsid w:val="006E3140"/>
    <w:rsid w:val="006E32EF"/>
    <w:rsid w:val="006E3368"/>
    <w:rsid w:val="006E3697"/>
    <w:rsid w:val="006E373C"/>
    <w:rsid w:val="006E386A"/>
    <w:rsid w:val="006E3960"/>
    <w:rsid w:val="006E3B43"/>
    <w:rsid w:val="006E3D0A"/>
    <w:rsid w:val="006E4496"/>
    <w:rsid w:val="006E45CC"/>
    <w:rsid w:val="006E46BB"/>
    <w:rsid w:val="006E477E"/>
    <w:rsid w:val="006E47EC"/>
    <w:rsid w:val="006E48FF"/>
    <w:rsid w:val="006E4A8C"/>
    <w:rsid w:val="006E4C4E"/>
    <w:rsid w:val="006E4C89"/>
    <w:rsid w:val="006E4DE3"/>
    <w:rsid w:val="006E4DF3"/>
    <w:rsid w:val="006E4ECD"/>
    <w:rsid w:val="006E50F0"/>
    <w:rsid w:val="006E5179"/>
    <w:rsid w:val="006E5353"/>
    <w:rsid w:val="006E54EE"/>
    <w:rsid w:val="006E57E4"/>
    <w:rsid w:val="006E5DF1"/>
    <w:rsid w:val="006E5E3E"/>
    <w:rsid w:val="006E61ED"/>
    <w:rsid w:val="006E622E"/>
    <w:rsid w:val="006E6252"/>
    <w:rsid w:val="006E6676"/>
    <w:rsid w:val="006E6781"/>
    <w:rsid w:val="006E6899"/>
    <w:rsid w:val="006E6AF6"/>
    <w:rsid w:val="006E6C6E"/>
    <w:rsid w:val="006E6D0B"/>
    <w:rsid w:val="006E6DC4"/>
    <w:rsid w:val="006E701B"/>
    <w:rsid w:val="006E737E"/>
    <w:rsid w:val="006E73CA"/>
    <w:rsid w:val="006E7420"/>
    <w:rsid w:val="006E7554"/>
    <w:rsid w:val="006E7597"/>
    <w:rsid w:val="006E7705"/>
    <w:rsid w:val="006E787E"/>
    <w:rsid w:val="006E796B"/>
    <w:rsid w:val="006F0195"/>
    <w:rsid w:val="006F025F"/>
    <w:rsid w:val="006F059D"/>
    <w:rsid w:val="006F05EF"/>
    <w:rsid w:val="006F0753"/>
    <w:rsid w:val="006F09E1"/>
    <w:rsid w:val="006F0DAD"/>
    <w:rsid w:val="006F0EE3"/>
    <w:rsid w:val="006F0F59"/>
    <w:rsid w:val="006F115B"/>
    <w:rsid w:val="006F1777"/>
    <w:rsid w:val="006F18A9"/>
    <w:rsid w:val="006F1A7F"/>
    <w:rsid w:val="006F1DC6"/>
    <w:rsid w:val="006F222F"/>
    <w:rsid w:val="006F232F"/>
    <w:rsid w:val="006F251A"/>
    <w:rsid w:val="006F2667"/>
    <w:rsid w:val="006F2678"/>
    <w:rsid w:val="006F2751"/>
    <w:rsid w:val="006F2ABD"/>
    <w:rsid w:val="006F2F70"/>
    <w:rsid w:val="006F31EA"/>
    <w:rsid w:val="006F37A1"/>
    <w:rsid w:val="006F38BB"/>
    <w:rsid w:val="006F3A0B"/>
    <w:rsid w:val="006F3A7E"/>
    <w:rsid w:val="006F410F"/>
    <w:rsid w:val="006F4449"/>
    <w:rsid w:val="006F4A10"/>
    <w:rsid w:val="006F507E"/>
    <w:rsid w:val="006F5160"/>
    <w:rsid w:val="006F5294"/>
    <w:rsid w:val="006F52F4"/>
    <w:rsid w:val="006F58A6"/>
    <w:rsid w:val="006F5918"/>
    <w:rsid w:val="006F59D3"/>
    <w:rsid w:val="006F5AAE"/>
    <w:rsid w:val="006F5CD6"/>
    <w:rsid w:val="006F5D38"/>
    <w:rsid w:val="006F5F49"/>
    <w:rsid w:val="006F6373"/>
    <w:rsid w:val="006F6900"/>
    <w:rsid w:val="006F69BD"/>
    <w:rsid w:val="006F6CB1"/>
    <w:rsid w:val="006F6FA4"/>
    <w:rsid w:val="006F7424"/>
    <w:rsid w:val="006F74A2"/>
    <w:rsid w:val="006F77AF"/>
    <w:rsid w:val="006F7A02"/>
    <w:rsid w:val="006F7C82"/>
    <w:rsid w:val="006F7D43"/>
    <w:rsid w:val="006F7F85"/>
    <w:rsid w:val="0070004F"/>
    <w:rsid w:val="00700066"/>
    <w:rsid w:val="007000C1"/>
    <w:rsid w:val="007004FB"/>
    <w:rsid w:val="007007E4"/>
    <w:rsid w:val="00700B28"/>
    <w:rsid w:val="00700C7D"/>
    <w:rsid w:val="00700DC2"/>
    <w:rsid w:val="00701004"/>
    <w:rsid w:val="007010D8"/>
    <w:rsid w:val="00701273"/>
    <w:rsid w:val="0070127E"/>
    <w:rsid w:val="00701500"/>
    <w:rsid w:val="007017E2"/>
    <w:rsid w:val="00701D13"/>
    <w:rsid w:val="00701DFE"/>
    <w:rsid w:val="00702012"/>
    <w:rsid w:val="00702396"/>
    <w:rsid w:val="0070247D"/>
    <w:rsid w:val="0070282C"/>
    <w:rsid w:val="00702C24"/>
    <w:rsid w:val="00702D28"/>
    <w:rsid w:val="0070316B"/>
    <w:rsid w:val="00703178"/>
    <w:rsid w:val="007031EB"/>
    <w:rsid w:val="00703211"/>
    <w:rsid w:val="007032E9"/>
    <w:rsid w:val="007036BC"/>
    <w:rsid w:val="0070376B"/>
    <w:rsid w:val="007037A6"/>
    <w:rsid w:val="00703894"/>
    <w:rsid w:val="007039E2"/>
    <w:rsid w:val="00703F2D"/>
    <w:rsid w:val="00703F7D"/>
    <w:rsid w:val="00704262"/>
    <w:rsid w:val="00704591"/>
    <w:rsid w:val="00704728"/>
    <w:rsid w:val="00704787"/>
    <w:rsid w:val="00704CD1"/>
    <w:rsid w:val="00704FA3"/>
    <w:rsid w:val="00704FA9"/>
    <w:rsid w:val="00704FBA"/>
    <w:rsid w:val="007053BE"/>
    <w:rsid w:val="00705548"/>
    <w:rsid w:val="007055E8"/>
    <w:rsid w:val="007056B6"/>
    <w:rsid w:val="007056BF"/>
    <w:rsid w:val="007057B0"/>
    <w:rsid w:val="00705838"/>
    <w:rsid w:val="00705B10"/>
    <w:rsid w:val="00705CAD"/>
    <w:rsid w:val="00705D87"/>
    <w:rsid w:val="00705E67"/>
    <w:rsid w:val="0070631E"/>
    <w:rsid w:val="00706361"/>
    <w:rsid w:val="00706521"/>
    <w:rsid w:val="00706A0C"/>
    <w:rsid w:val="00706C71"/>
    <w:rsid w:val="007071F3"/>
    <w:rsid w:val="007078A9"/>
    <w:rsid w:val="00707978"/>
    <w:rsid w:val="00707ADD"/>
    <w:rsid w:val="00707EB0"/>
    <w:rsid w:val="00710039"/>
    <w:rsid w:val="00710129"/>
    <w:rsid w:val="007101F9"/>
    <w:rsid w:val="00710372"/>
    <w:rsid w:val="0071058E"/>
    <w:rsid w:val="00710F42"/>
    <w:rsid w:val="00710F8D"/>
    <w:rsid w:val="00711029"/>
    <w:rsid w:val="00711077"/>
    <w:rsid w:val="0071127B"/>
    <w:rsid w:val="007114A4"/>
    <w:rsid w:val="007114A8"/>
    <w:rsid w:val="007115B4"/>
    <w:rsid w:val="00711684"/>
    <w:rsid w:val="007117F7"/>
    <w:rsid w:val="00711A34"/>
    <w:rsid w:val="00711C83"/>
    <w:rsid w:val="00711F72"/>
    <w:rsid w:val="00712023"/>
    <w:rsid w:val="007121C8"/>
    <w:rsid w:val="007123B8"/>
    <w:rsid w:val="007126AC"/>
    <w:rsid w:val="007126FA"/>
    <w:rsid w:val="00712898"/>
    <w:rsid w:val="007128A9"/>
    <w:rsid w:val="007128B1"/>
    <w:rsid w:val="00712AB7"/>
    <w:rsid w:val="00712EAC"/>
    <w:rsid w:val="00712FBF"/>
    <w:rsid w:val="00713256"/>
    <w:rsid w:val="0071333D"/>
    <w:rsid w:val="007138E2"/>
    <w:rsid w:val="00713AEE"/>
    <w:rsid w:val="00713B36"/>
    <w:rsid w:val="00713D0D"/>
    <w:rsid w:val="00713F30"/>
    <w:rsid w:val="00714028"/>
    <w:rsid w:val="00714388"/>
    <w:rsid w:val="007143C2"/>
    <w:rsid w:val="00714AB0"/>
    <w:rsid w:val="00714D08"/>
    <w:rsid w:val="00714D5E"/>
    <w:rsid w:val="00715323"/>
    <w:rsid w:val="00715537"/>
    <w:rsid w:val="00715703"/>
    <w:rsid w:val="00715953"/>
    <w:rsid w:val="007159AD"/>
    <w:rsid w:val="00715DE8"/>
    <w:rsid w:val="00715FC4"/>
    <w:rsid w:val="00716032"/>
    <w:rsid w:val="0071637A"/>
    <w:rsid w:val="00716438"/>
    <w:rsid w:val="00716442"/>
    <w:rsid w:val="00716485"/>
    <w:rsid w:val="00716A44"/>
    <w:rsid w:val="00717459"/>
    <w:rsid w:val="00717842"/>
    <w:rsid w:val="00717939"/>
    <w:rsid w:val="00717B13"/>
    <w:rsid w:val="00717B8A"/>
    <w:rsid w:val="00717CA7"/>
    <w:rsid w:val="007200FC"/>
    <w:rsid w:val="0072048F"/>
    <w:rsid w:val="0072050E"/>
    <w:rsid w:val="007208A8"/>
    <w:rsid w:val="00720958"/>
    <w:rsid w:val="00720FBD"/>
    <w:rsid w:val="007211A9"/>
    <w:rsid w:val="007215CB"/>
    <w:rsid w:val="007217C3"/>
    <w:rsid w:val="0072199A"/>
    <w:rsid w:val="00721BA0"/>
    <w:rsid w:val="00722022"/>
    <w:rsid w:val="00722137"/>
    <w:rsid w:val="0072223F"/>
    <w:rsid w:val="0072233B"/>
    <w:rsid w:val="0072240C"/>
    <w:rsid w:val="00722410"/>
    <w:rsid w:val="0072246A"/>
    <w:rsid w:val="00722508"/>
    <w:rsid w:val="00722569"/>
    <w:rsid w:val="0072277F"/>
    <w:rsid w:val="00722A4D"/>
    <w:rsid w:val="00722AF1"/>
    <w:rsid w:val="00722D3F"/>
    <w:rsid w:val="0072300B"/>
    <w:rsid w:val="00723033"/>
    <w:rsid w:val="0072348E"/>
    <w:rsid w:val="00723887"/>
    <w:rsid w:val="00723901"/>
    <w:rsid w:val="00723974"/>
    <w:rsid w:val="007239D9"/>
    <w:rsid w:val="00723B0A"/>
    <w:rsid w:val="00723B72"/>
    <w:rsid w:val="007244CF"/>
    <w:rsid w:val="007245B2"/>
    <w:rsid w:val="007249AB"/>
    <w:rsid w:val="00724A5D"/>
    <w:rsid w:val="00724AC7"/>
    <w:rsid w:val="00724C4A"/>
    <w:rsid w:val="00724CAE"/>
    <w:rsid w:val="00724D62"/>
    <w:rsid w:val="0072527C"/>
    <w:rsid w:val="0072552A"/>
    <w:rsid w:val="0072562C"/>
    <w:rsid w:val="00725667"/>
    <w:rsid w:val="00725E32"/>
    <w:rsid w:val="00725F0B"/>
    <w:rsid w:val="00725F2B"/>
    <w:rsid w:val="00725FC5"/>
    <w:rsid w:val="00726102"/>
    <w:rsid w:val="007264AE"/>
    <w:rsid w:val="00726B3D"/>
    <w:rsid w:val="00726BE6"/>
    <w:rsid w:val="00726C7B"/>
    <w:rsid w:val="00726D39"/>
    <w:rsid w:val="00726EF9"/>
    <w:rsid w:val="00727102"/>
    <w:rsid w:val="007272E6"/>
    <w:rsid w:val="0072779B"/>
    <w:rsid w:val="0072789A"/>
    <w:rsid w:val="007279B2"/>
    <w:rsid w:val="00727AF7"/>
    <w:rsid w:val="00727C0C"/>
    <w:rsid w:val="00727E0C"/>
    <w:rsid w:val="00727E4C"/>
    <w:rsid w:val="007300A8"/>
    <w:rsid w:val="007301FF"/>
    <w:rsid w:val="007302AB"/>
    <w:rsid w:val="007304BE"/>
    <w:rsid w:val="007304C4"/>
    <w:rsid w:val="007305B9"/>
    <w:rsid w:val="00730964"/>
    <w:rsid w:val="00730BD4"/>
    <w:rsid w:val="00730C14"/>
    <w:rsid w:val="00730CC6"/>
    <w:rsid w:val="00730DCF"/>
    <w:rsid w:val="00730F50"/>
    <w:rsid w:val="00731031"/>
    <w:rsid w:val="007310CD"/>
    <w:rsid w:val="00731349"/>
    <w:rsid w:val="007315FD"/>
    <w:rsid w:val="00731683"/>
    <w:rsid w:val="0073172A"/>
    <w:rsid w:val="007317C0"/>
    <w:rsid w:val="007317D6"/>
    <w:rsid w:val="00731B77"/>
    <w:rsid w:val="00731C46"/>
    <w:rsid w:val="00731CF4"/>
    <w:rsid w:val="00731E55"/>
    <w:rsid w:val="00731E89"/>
    <w:rsid w:val="00731EB2"/>
    <w:rsid w:val="00731F36"/>
    <w:rsid w:val="0073201A"/>
    <w:rsid w:val="00732127"/>
    <w:rsid w:val="00732132"/>
    <w:rsid w:val="0073242D"/>
    <w:rsid w:val="0073274F"/>
    <w:rsid w:val="00732812"/>
    <w:rsid w:val="00732905"/>
    <w:rsid w:val="00732B69"/>
    <w:rsid w:val="00732C6C"/>
    <w:rsid w:val="00732F0B"/>
    <w:rsid w:val="00732F48"/>
    <w:rsid w:val="00733108"/>
    <w:rsid w:val="0073326F"/>
    <w:rsid w:val="007333AC"/>
    <w:rsid w:val="00733417"/>
    <w:rsid w:val="00733491"/>
    <w:rsid w:val="00733694"/>
    <w:rsid w:val="00733712"/>
    <w:rsid w:val="007337FD"/>
    <w:rsid w:val="0073388F"/>
    <w:rsid w:val="00733C57"/>
    <w:rsid w:val="00733D07"/>
    <w:rsid w:val="00733EBC"/>
    <w:rsid w:val="007340BE"/>
    <w:rsid w:val="007340D0"/>
    <w:rsid w:val="007342FE"/>
    <w:rsid w:val="0073439E"/>
    <w:rsid w:val="007347F6"/>
    <w:rsid w:val="007348B7"/>
    <w:rsid w:val="007348C8"/>
    <w:rsid w:val="007349F7"/>
    <w:rsid w:val="00734C60"/>
    <w:rsid w:val="00734E0A"/>
    <w:rsid w:val="0073519C"/>
    <w:rsid w:val="00735382"/>
    <w:rsid w:val="00735425"/>
    <w:rsid w:val="00735482"/>
    <w:rsid w:val="00735662"/>
    <w:rsid w:val="0073589E"/>
    <w:rsid w:val="00735AFC"/>
    <w:rsid w:val="00735BC1"/>
    <w:rsid w:val="00735D52"/>
    <w:rsid w:val="00735E5F"/>
    <w:rsid w:val="00736434"/>
    <w:rsid w:val="007365B9"/>
    <w:rsid w:val="007365C5"/>
    <w:rsid w:val="00736750"/>
    <w:rsid w:val="00736A0B"/>
    <w:rsid w:val="00736B17"/>
    <w:rsid w:val="00736BE2"/>
    <w:rsid w:val="00737177"/>
    <w:rsid w:val="0073738D"/>
    <w:rsid w:val="0073755D"/>
    <w:rsid w:val="007376A5"/>
    <w:rsid w:val="007376C9"/>
    <w:rsid w:val="007376FE"/>
    <w:rsid w:val="00737B36"/>
    <w:rsid w:val="00737BF1"/>
    <w:rsid w:val="00737CA3"/>
    <w:rsid w:val="00737CC4"/>
    <w:rsid w:val="00737DFF"/>
    <w:rsid w:val="00737F19"/>
    <w:rsid w:val="00737F5F"/>
    <w:rsid w:val="007400D4"/>
    <w:rsid w:val="007403AF"/>
    <w:rsid w:val="00740512"/>
    <w:rsid w:val="00740518"/>
    <w:rsid w:val="00740564"/>
    <w:rsid w:val="00740A44"/>
    <w:rsid w:val="00740AEF"/>
    <w:rsid w:val="00740CC8"/>
    <w:rsid w:val="00740DBB"/>
    <w:rsid w:val="00740E2E"/>
    <w:rsid w:val="00740E89"/>
    <w:rsid w:val="00740ED7"/>
    <w:rsid w:val="0074100D"/>
    <w:rsid w:val="0074109D"/>
    <w:rsid w:val="007414AA"/>
    <w:rsid w:val="007415BF"/>
    <w:rsid w:val="00741C03"/>
    <w:rsid w:val="00741F90"/>
    <w:rsid w:val="00742294"/>
    <w:rsid w:val="00742429"/>
    <w:rsid w:val="00742460"/>
    <w:rsid w:val="007424CD"/>
    <w:rsid w:val="0074254A"/>
    <w:rsid w:val="00742A79"/>
    <w:rsid w:val="00742CE0"/>
    <w:rsid w:val="00742E86"/>
    <w:rsid w:val="007430E6"/>
    <w:rsid w:val="00743101"/>
    <w:rsid w:val="007431C6"/>
    <w:rsid w:val="00743597"/>
    <w:rsid w:val="00743A2F"/>
    <w:rsid w:val="00743C5C"/>
    <w:rsid w:val="007441D1"/>
    <w:rsid w:val="007442F6"/>
    <w:rsid w:val="00744585"/>
    <w:rsid w:val="007446D7"/>
    <w:rsid w:val="00744739"/>
    <w:rsid w:val="00744796"/>
    <w:rsid w:val="00744998"/>
    <w:rsid w:val="00744B6E"/>
    <w:rsid w:val="00744BD1"/>
    <w:rsid w:val="00744E09"/>
    <w:rsid w:val="00744F8B"/>
    <w:rsid w:val="00745077"/>
    <w:rsid w:val="0074515B"/>
    <w:rsid w:val="0074516A"/>
    <w:rsid w:val="00745185"/>
    <w:rsid w:val="00745306"/>
    <w:rsid w:val="00745497"/>
    <w:rsid w:val="007454A6"/>
    <w:rsid w:val="00745623"/>
    <w:rsid w:val="0074570A"/>
    <w:rsid w:val="00745947"/>
    <w:rsid w:val="00745999"/>
    <w:rsid w:val="00745A7A"/>
    <w:rsid w:val="00745BD2"/>
    <w:rsid w:val="00745C92"/>
    <w:rsid w:val="00745E20"/>
    <w:rsid w:val="00745F7A"/>
    <w:rsid w:val="00745FB8"/>
    <w:rsid w:val="00745FD5"/>
    <w:rsid w:val="007468A3"/>
    <w:rsid w:val="00746D39"/>
    <w:rsid w:val="00746E1C"/>
    <w:rsid w:val="007473F5"/>
    <w:rsid w:val="0074762C"/>
    <w:rsid w:val="0074773F"/>
    <w:rsid w:val="0074775A"/>
    <w:rsid w:val="007477E9"/>
    <w:rsid w:val="00747ABD"/>
    <w:rsid w:val="00747AEE"/>
    <w:rsid w:val="00747E39"/>
    <w:rsid w:val="007501E2"/>
    <w:rsid w:val="00750220"/>
    <w:rsid w:val="007508A0"/>
    <w:rsid w:val="0075093A"/>
    <w:rsid w:val="007509B4"/>
    <w:rsid w:val="00750AE9"/>
    <w:rsid w:val="00750BCE"/>
    <w:rsid w:val="00750DDC"/>
    <w:rsid w:val="00751097"/>
    <w:rsid w:val="007510EF"/>
    <w:rsid w:val="00751299"/>
    <w:rsid w:val="0075129C"/>
    <w:rsid w:val="007514A0"/>
    <w:rsid w:val="007517D1"/>
    <w:rsid w:val="007517FB"/>
    <w:rsid w:val="00751D96"/>
    <w:rsid w:val="00751E15"/>
    <w:rsid w:val="00752030"/>
    <w:rsid w:val="0075205E"/>
    <w:rsid w:val="00752134"/>
    <w:rsid w:val="00752222"/>
    <w:rsid w:val="007524A1"/>
    <w:rsid w:val="007529A2"/>
    <w:rsid w:val="00752D26"/>
    <w:rsid w:val="00752DB9"/>
    <w:rsid w:val="00753226"/>
    <w:rsid w:val="00753297"/>
    <w:rsid w:val="007534DA"/>
    <w:rsid w:val="00753D3D"/>
    <w:rsid w:val="00754092"/>
    <w:rsid w:val="00754188"/>
    <w:rsid w:val="0075457C"/>
    <w:rsid w:val="00754599"/>
    <w:rsid w:val="00754A4B"/>
    <w:rsid w:val="00754B3C"/>
    <w:rsid w:val="00754C05"/>
    <w:rsid w:val="00754D38"/>
    <w:rsid w:val="00754DC3"/>
    <w:rsid w:val="00754E0F"/>
    <w:rsid w:val="00754F36"/>
    <w:rsid w:val="007550EB"/>
    <w:rsid w:val="0075512D"/>
    <w:rsid w:val="00755138"/>
    <w:rsid w:val="007552C7"/>
    <w:rsid w:val="00755330"/>
    <w:rsid w:val="00755685"/>
    <w:rsid w:val="00755715"/>
    <w:rsid w:val="00755C47"/>
    <w:rsid w:val="00756170"/>
    <w:rsid w:val="007561A1"/>
    <w:rsid w:val="0075657C"/>
    <w:rsid w:val="007565FD"/>
    <w:rsid w:val="00756779"/>
    <w:rsid w:val="0075677D"/>
    <w:rsid w:val="007568C8"/>
    <w:rsid w:val="00756B61"/>
    <w:rsid w:val="00756DB2"/>
    <w:rsid w:val="00756E01"/>
    <w:rsid w:val="00756E04"/>
    <w:rsid w:val="0075702B"/>
    <w:rsid w:val="007570BD"/>
    <w:rsid w:val="00757186"/>
    <w:rsid w:val="0075718C"/>
    <w:rsid w:val="007571D5"/>
    <w:rsid w:val="00757221"/>
    <w:rsid w:val="00757227"/>
    <w:rsid w:val="0075723A"/>
    <w:rsid w:val="00757241"/>
    <w:rsid w:val="00757377"/>
    <w:rsid w:val="00757892"/>
    <w:rsid w:val="00757D34"/>
    <w:rsid w:val="00757E6B"/>
    <w:rsid w:val="00760284"/>
    <w:rsid w:val="00760288"/>
    <w:rsid w:val="0076048A"/>
    <w:rsid w:val="007604E7"/>
    <w:rsid w:val="0076050F"/>
    <w:rsid w:val="00760716"/>
    <w:rsid w:val="00760799"/>
    <w:rsid w:val="0076098C"/>
    <w:rsid w:val="00760A37"/>
    <w:rsid w:val="00760AD7"/>
    <w:rsid w:val="00760B36"/>
    <w:rsid w:val="00760E58"/>
    <w:rsid w:val="00760F7C"/>
    <w:rsid w:val="0076134D"/>
    <w:rsid w:val="0076151D"/>
    <w:rsid w:val="007616E5"/>
    <w:rsid w:val="00761A2A"/>
    <w:rsid w:val="00761AD4"/>
    <w:rsid w:val="00761BB0"/>
    <w:rsid w:val="00761BDC"/>
    <w:rsid w:val="00761D91"/>
    <w:rsid w:val="00761E5E"/>
    <w:rsid w:val="007620B3"/>
    <w:rsid w:val="007621B2"/>
    <w:rsid w:val="00762255"/>
    <w:rsid w:val="00762451"/>
    <w:rsid w:val="0076247E"/>
    <w:rsid w:val="007624B3"/>
    <w:rsid w:val="0076252F"/>
    <w:rsid w:val="007628EE"/>
    <w:rsid w:val="007629ED"/>
    <w:rsid w:val="007634A0"/>
    <w:rsid w:val="007634A9"/>
    <w:rsid w:val="007634BB"/>
    <w:rsid w:val="0076368B"/>
    <w:rsid w:val="00763726"/>
    <w:rsid w:val="00763B00"/>
    <w:rsid w:val="00763B2A"/>
    <w:rsid w:val="00763E0A"/>
    <w:rsid w:val="00763E80"/>
    <w:rsid w:val="00763FBB"/>
    <w:rsid w:val="00763FF5"/>
    <w:rsid w:val="0076415A"/>
    <w:rsid w:val="007641AA"/>
    <w:rsid w:val="007641DD"/>
    <w:rsid w:val="00764212"/>
    <w:rsid w:val="00764354"/>
    <w:rsid w:val="0076441B"/>
    <w:rsid w:val="007644F6"/>
    <w:rsid w:val="00764916"/>
    <w:rsid w:val="0076491C"/>
    <w:rsid w:val="00764AC8"/>
    <w:rsid w:val="00764BAC"/>
    <w:rsid w:val="00764D9F"/>
    <w:rsid w:val="00764F01"/>
    <w:rsid w:val="00764F05"/>
    <w:rsid w:val="00764F2D"/>
    <w:rsid w:val="00764F84"/>
    <w:rsid w:val="007657B8"/>
    <w:rsid w:val="00765967"/>
    <w:rsid w:val="00765A3F"/>
    <w:rsid w:val="00765C9C"/>
    <w:rsid w:val="00765D41"/>
    <w:rsid w:val="00765F7F"/>
    <w:rsid w:val="0076639F"/>
    <w:rsid w:val="007665C6"/>
    <w:rsid w:val="00766646"/>
    <w:rsid w:val="00766833"/>
    <w:rsid w:val="00766844"/>
    <w:rsid w:val="00766BED"/>
    <w:rsid w:val="00766CC0"/>
    <w:rsid w:val="00766FBF"/>
    <w:rsid w:val="0076700F"/>
    <w:rsid w:val="0076718B"/>
    <w:rsid w:val="00767337"/>
    <w:rsid w:val="00767377"/>
    <w:rsid w:val="0076757A"/>
    <w:rsid w:val="0076766D"/>
    <w:rsid w:val="00767914"/>
    <w:rsid w:val="0076792A"/>
    <w:rsid w:val="00767CC9"/>
    <w:rsid w:val="00767FCA"/>
    <w:rsid w:val="00767FDB"/>
    <w:rsid w:val="00770069"/>
    <w:rsid w:val="00770353"/>
    <w:rsid w:val="007703D6"/>
    <w:rsid w:val="00770BF0"/>
    <w:rsid w:val="00770E43"/>
    <w:rsid w:val="007715D8"/>
    <w:rsid w:val="00771783"/>
    <w:rsid w:val="0077196A"/>
    <w:rsid w:val="007719CE"/>
    <w:rsid w:val="00771DEB"/>
    <w:rsid w:val="00771F2B"/>
    <w:rsid w:val="00771F4D"/>
    <w:rsid w:val="007720F7"/>
    <w:rsid w:val="0077211B"/>
    <w:rsid w:val="007721F8"/>
    <w:rsid w:val="0077223B"/>
    <w:rsid w:val="007722B2"/>
    <w:rsid w:val="00772538"/>
    <w:rsid w:val="007725AF"/>
    <w:rsid w:val="007729F2"/>
    <w:rsid w:val="00772B17"/>
    <w:rsid w:val="00772CB8"/>
    <w:rsid w:val="00772F73"/>
    <w:rsid w:val="007731B9"/>
    <w:rsid w:val="00773936"/>
    <w:rsid w:val="007739A7"/>
    <w:rsid w:val="00773BE2"/>
    <w:rsid w:val="00773FD0"/>
    <w:rsid w:val="007741F6"/>
    <w:rsid w:val="007743E4"/>
    <w:rsid w:val="00774583"/>
    <w:rsid w:val="00774592"/>
    <w:rsid w:val="0077496F"/>
    <w:rsid w:val="00774A96"/>
    <w:rsid w:val="00774BA9"/>
    <w:rsid w:val="00774DEE"/>
    <w:rsid w:val="00774EBB"/>
    <w:rsid w:val="007752B3"/>
    <w:rsid w:val="007752F7"/>
    <w:rsid w:val="0077536A"/>
    <w:rsid w:val="007753C0"/>
    <w:rsid w:val="007754B5"/>
    <w:rsid w:val="007754DC"/>
    <w:rsid w:val="007756E3"/>
    <w:rsid w:val="00775A89"/>
    <w:rsid w:val="00775CCD"/>
    <w:rsid w:val="00775FD3"/>
    <w:rsid w:val="00776250"/>
    <w:rsid w:val="00776281"/>
    <w:rsid w:val="007762BF"/>
    <w:rsid w:val="0077646B"/>
    <w:rsid w:val="0077681F"/>
    <w:rsid w:val="0077689D"/>
    <w:rsid w:val="007768E8"/>
    <w:rsid w:val="00776A9E"/>
    <w:rsid w:val="00776E56"/>
    <w:rsid w:val="00777403"/>
    <w:rsid w:val="0077743A"/>
    <w:rsid w:val="007774E8"/>
    <w:rsid w:val="00777518"/>
    <w:rsid w:val="007775B7"/>
    <w:rsid w:val="00777625"/>
    <w:rsid w:val="007777AF"/>
    <w:rsid w:val="00777A71"/>
    <w:rsid w:val="00777CA6"/>
    <w:rsid w:val="00777D15"/>
    <w:rsid w:val="00777EEE"/>
    <w:rsid w:val="00780164"/>
    <w:rsid w:val="00780302"/>
    <w:rsid w:val="00780383"/>
    <w:rsid w:val="00780749"/>
    <w:rsid w:val="00780FB9"/>
    <w:rsid w:val="0078104A"/>
    <w:rsid w:val="00781058"/>
    <w:rsid w:val="0078117C"/>
    <w:rsid w:val="00781234"/>
    <w:rsid w:val="00781423"/>
    <w:rsid w:val="0078148C"/>
    <w:rsid w:val="00781609"/>
    <w:rsid w:val="00781725"/>
    <w:rsid w:val="007819EE"/>
    <w:rsid w:val="00781A7A"/>
    <w:rsid w:val="00781ADA"/>
    <w:rsid w:val="00781FF2"/>
    <w:rsid w:val="0078249D"/>
    <w:rsid w:val="007825D0"/>
    <w:rsid w:val="00782760"/>
    <w:rsid w:val="007829A2"/>
    <w:rsid w:val="00782B06"/>
    <w:rsid w:val="00782B4C"/>
    <w:rsid w:val="00782E58"/>
    <w:rsid w:val="007830AB"/>
    <w:rsid w:val="00783141"/>
    <w:rsid w:val="0078343F"/>
    <w:rsid w:val="00783443"/>
    <w:rsid w:val="0078352F"/>
    <w:rsid w:val="0078368F"/>
    <w:rsid w:val="007837C0"/>
    <w:rsid w:val="00783BA9"/>
    <w:rsid w:val="00783CE5"/>
    <w:rsid w:val="00783D18"/>
    <w:rsid w:val="00784276"/>
    <w:rsid w:val="00784523"/>
    <w:rsid w:val="00784890"/>
    <w:rsid w:val="00784C90"/>
    <w:rsid w:val="00784C9C"/>
    <w:rsid w:val="00784E07"/>
    <w:rsid w:val="00784E3F"/>
    <w:rsid w:val="00785128"/>
    <w:rsid w:val="00785459"/>
    <w:rsid w:val="00785664"/>
    <w:rsid w:val="00785A0B"/>
    <w:rsid w:val="00785A67"/>
    <w:rsid w:val="00785AD4"/>
    <w:rsid w:val="00785B18"/>
    <w:rsid w:val="00785C5B"/>
    <w:rsid w:val="00785E58"/>
    <w:rsid w:val="00785F88"/>
    <w:rsid w:val="007861D1"/>
    <w:rsid w:val="007864E2"/>
    <w:rsid w:val="007867EF"/>
    <w:rsid w:val="00786895"/>
    <w:rsid w:val="007869BD"/>
    <w:rsid w:val="00786A80"/>
    <w:rsid w:val="00786CF6"/>
    <w:rsid w:val="00786E79"/>
    <w:rsid w:val="00786F0C"/>
    <w:rsid w:val="00786FB4"/>
    <w:rsid w:val="007870C2"/>
    <w:rsid w:val="00787237"/>
    <w:rsid w:val="00787595"/>
    <w:rsid w:val="00787899"/>
    <w:rsid w:val="007878E2"/>
    <w:rsid w:val="00787A18"/>
    <w:rsid w:val="00787BD7"/>
    <w:rsid w:val="00787FD5"/>
    <w:rsid w:val="007900C8"/>
    <w:rsid w:val="007901F2"/>
    <w:rsid w:val="00790314"/>
    <w:rsid w:val="007903B6"/>
    <w:rsid w:val="00790487"/>
    <w:rsid w:val="007904C5"/>
    <w:rsid w:val="00790570"/>
    <w:rsid w:val="00790877"/>
    <w:rsid w:val="00790B56"/>
    <w:rsid w:val="00790D26"/>
    <w:rsid w:val="00790DA1"/>
    <w:rsid w:val="00790DF5"/>
    <w:rsid w:val="00791012"/>
    <w:rsid w:val="00791105"/>
    <w:rsid w:val="007911FD"/>
    <w:rsid w:val="0079158F"/>
    <w:rsid w:val="0079164F"/>
    <w:rsid w:val="0079191B"/>
    <w:rsid w:val="00791C4C"/>
    <w:rsid w:val="00791E45"/>
    <w:rsid w:val="00791FF6"/>
    <w:rsid w:val="007922E9"/>
    <w:rsid w:val="00792344"/>
    <w:rsid w:val="00792479"/>
    <w:rsid w:val="0079290C"/>
    <w:rsid w:val="00792BB7"/>
    <w:rsid w:val="00792E70"/>
    <w:rsid w:val="00792ED5"/>
    <w:rsid w:val="00793075"/>
    <w:rsid w:val="007930C5"/>
    <w:rsid w:val="007932F0"/>
    <w:rsid w:val="0079335B"/>
    <w:rsid w:val="0079346F"/>
    <w:rsid w:val="007937CF"/>
    <w:rsid w:val="00793A49"/>
    <w:rsid w:val="00793B8E"/>
    <w:rsid w:val="00793D34"/>
    <w:rsid w:val="00793E8F"/>
    <w:rsid w:val="0079401C"/>
    <w:rsid w:val="007946CB"/>
    <w:rsid w:val="00794780"/>
    <w:rsid w:val="00794990"/>
    <w:rsid w:val="007949BB"/>
    <w:rsid w:val="00794A6C"/>
    <w:rsid w:val="00794C7B"/>
    <w:rsid w:val="00794CB7"/>
    <w:rsid w:val="00794D82"/>
    <w:rsid w:val="00794F43"/>
    <w:rsid w:val="00795007"/>
    <w:rsid w:val="0079566F"/>
    <w:rsid w:val="0079587E"/>
    <w:rsid w:val="00795888"/>
    <w:rsid w:val="0079591D"/>
    <w:rsid w:val="00795A92"/>
    <w:rsid w:val="00796092"/>
    <w:rsid w:val="007960FD"/>
    <w:rsid w:val="00796115"/>
    <w:rsid w:val="007963EB"/>
    <w:rsid w:val="00796456"/>
    <w:rsid w:val="007965E0"/>
    <w:rsid w:val="007967A5"/>
    <w:rsid w:val="00796823"/>
    <w:rsid w:val="0079693C"/>
    <w:rsid w:val="00796B29"/>
    <w:rsid w:val="00796DF5"/>
    <w:rsid w:val="00796E61"/>
    <w:rsid w:val="00797180"/>
    <w:rsid w:val="00797217"/>
    <w:rsid w:val="0079740F"/>
    <w:rsid w:val="007975CD"/>
    <w:rsid w:val="007976D5"/>
    <w:rsid w:val="00797717"/>
    <w:rsid w:val="00797743"/>
    <w:rsid w:val="007977E5"/>
    <w:rsid w:val="007977FA"/>
    <w:rsid w:val="00797A50"/>
    <w:rsid w:val="00797B25"/>
    <w:rsid w:val="00797C53"/>
    <w:rsid w:val="00797E9F"/>
    <w:rsid w:val="007A0019"/>
    <w:rsid w:val="007A006C"/>
    <w:rsid w:val="007A00F7"/>
    <w:rsid w:val="007A0134"/>
    <w:rsid w:val="007A0594"/>
    <w:rsid w:val="007A05D4"/>
    <w:rsid w:val="007A08A8"/>
    <w:rsid w:val="007A09DC"/>
    <w:rsid w:val="007A0AC2"/>
    <w:rsid w:val="007A0EB1"/>
    <w:rsid w:val="007A1056"/>
    <w:rsid w:val="007A10B4"/>
    <w:rsid w:val="007A138E"/>
    <w:rsid w:val="007A1462"/>
    <w:rsid w:val="007A16A8"/>
    <w:rsid w:val="007A17BB"/>
    <w:rsid w:val="007A19C2"/>
    <w:rsid w:val="007A1B58"/>
    <w:rsid w:val="007A1C2E"/>
    <w:rsid w:val="007A1D60"/>
    <w:rsid w:val="007A1EEA"/>
    <w:rsid w:val="007A1FA5"/>
    <w:rsid w:val="007A209D"/>
    <w:rsid w:val="007A210A"/>
    <w:rsid w:val="007A210D"/>
    <w:rsid w:val="007A21CF"/>
    <w:rsid w:val="007A244A"/>
    <w:rsid w:val="007A2473"/>
    <w:rsid w:val="007A2488"/>
    <w:rsid w:val="007A2838"/>
    <w:rsid w:val="007A28D4"/>
    <w:rsid w:val="007A2EF7"/>
    <w:rsid w:val="007A306B"/>
    <w:rsid w:val="007A30E4"/>
    <w:rsid w:val="007A3353"/>
    <w:rsid w:val="007A343C"/>
    <w:rsid w:val="007A34BE"/>
    <w:rsid w:val="007A3874"/>
    <w:rsid w:val="007A3DC2"/>
    <w:rsid w:val="007A4079"/>
    <w:rsid w:val="007A40F1"/>
    <w:rsid w:val="007A425D"/>
    <w:rsid w:val="007A44A6"/>
    <w:rsid w:val="007A4691"/>
    <w:rsid w:val="007A46F2"/>
    <w:rsid w:val="007A49F0"/>
    <w:rsid w:val="007A4A20"/>
    <w:rsid w:val="007A4B23"/>
    <w:rsid w:val="007A4BF0"/>
    <w:rsid w:val="007A4E56"/>
    <w:rsid w:val="007A4EC7"/>
    <w:rsid w:val="007A5120"/>
    <w:rsid w:val="007A5411"/>
    <w:rsid w:val="007A54CC"/>
    <w:rsid w:val="007A5681"/>
    <w:rsid w:val="007A56ED"/>
    <w:rsid w:val="007A594A"/>
    <w:rsid w:val="007A5BC7"/>
    <w:rsid w:val="007A5C22"/>
    <w:rsid w:val="007A5CBB"/>
    <w:rsid w:val="007A5EA0"/>
    <w:rsid w:val="007A6216"/>
    <w:rsid w:val="007A630F"/>
    <w:rsid w:val="007A65E8"/>
    <w:rsid w:val="007A6823"/>
    <w:rsid w:val="007A6C72"/>
    <w:rsid w:val="007A6E56"/>
    <w:rsid w:val="007A6FBE"/>
    <w:rsid w:val="007A7122"/>
    <w:rsid w:val="007A7409"/>
    <w:rsid w:val="007A74CF"/>
    <w:rsid w:val="007A75E9"/>
    <w:rsid w:val="007A7619"/>
    <w:rsid w:val="007A7A88"/>
    <w:rsid w:val="007A7E24"/>
    <w:rsid w:val="007A7FB0"/>
    <w:rsid w:val="007B01A3"/>
    <w:rsid w:val="007B01BC"/>
    <w:rsid w:val="007B03F4"/>
    <w:rsid w:val="007B0739"/>
    <w:rsid w:val="007B0AD9"/>
    <w:rsid w:val="007B0B93"/>
    <w:rsid w:val="007B0CED"/>
    <w:rsid w:val="007B0DD0"/>
    <w:rsid w:val="007B1054"/>
    <w:rsid w:val="007B1282"/>
    <w:rsid w:val="007B1604"/>
    <w:rsid w:val="007B160E"/>
    <w:rsid w:val="007B16D1"/>
    <w:rsid w:val="007B1764"/>
    <w:rsid w:val="007B17BD"/>
    <w:rsid w:val="007B1836"/>
    <w:rsid w:val="007B1B22"/>
    <w:rsid w:val="007B1C4E"/>
    <w:rsid w:val="007B2028"/>
    <w:rsid w:val="007B20E9"/>
    <w:rsid w:val="007B2117"/>
    <w:rsid w:val="007B228E"/>
    <w:rsid w:val="007B234D"/>
    <w:rsid w:val="007B23F2"/>
    <w:rsid w:val="007B2637"/>
    <w:rsid w:val="007B264C"/>
    <w:rsid w:val="007B278E"/>
    <w:rsid w:val="007B2804"/>
    <w:rsid w:val="007B2933"/>
    <w:rsid w:val="007B2A4C"/>
    <w:rsid w:val="007B2ABE"/>
    <w:rsid w:val="007B2B2D"/>
    <w:rsid w:val="007B2B2F"/>
    <w:rsid w:val="007B2EA7"/>
    <w:rsid w:val="007B332A"/>
    <w:rsid w:val="007B345F"/>
    <w:rsid w:val="007B35E8"/>
    <w:rsid w:val="007B369C"/>
    <w:rsid w:val="007B36D2"/>
    <w:rsid w:val="007B3849"/>
    <w:rsid w:val="007B386C"/>
    <w:rsid w:val="007B387F"/>
    <w:rsid w:val="007B38D1"/>
    <w:rsid w:val="007B3959"/>
    <w:rsid w:val="007B3B8D"/>
    <w:rsid w:val="007B3D51"/>
    <w:rsid w:val="007B3F8F"/>
    <w:rsid w:val="007B40C6"/>
    <w:rsid w:val="007B4326"/>
    <w:rsid w:val="007B442C"/>
    <w:rsid w:val="007B4551"/>
    <w:rsid w:val="007B4A9C"/>
    <w:rsid w:val="007B4B9B"/>
    <w:rsid w:val="007B4BFA"/>
    <w:rsid w:val="007B4CCB"/>
    <w:rsid w:val="007B4E55"/>
    <w:rsid w:val="007B5085"/>
    <w:rsid w:val="007B50A3"/>
    <w:rsid w:val="007B517B"/>
    <w:rsid w:val="007B5228"/>
    <w:rsid w:val="007B5233"/>
    <w:rsid w:val="007B5651"/>
    <w:rsid w:val="007B5653"/>
    <w:rsid w:val="007B56E0"/>
    <w:rsid w:val="007B5744"/>
    <w:rsid w:val="007B596C"/>
    <w:rsid w:val="007B5B53"/>
    <w:rsid w:val="007B5C96"/>
    <w:rsid w:val="007B5D48"/>
    <w:rsid w:val="007B5EC1"/>
    <w:rsid w:val="007B6530"/>
    <w:rsid w:val="007B663A"/>
    <w:rsid w:val="007B6831"/>
    <w:rsid w:val="007B6BB5"/>
    <w:rsid w:val="007B6C01"/>
    <w:rsid w:val="007B6D07"/>
    <w:rsid w:val="007B6DB2"/>
    <w:rsid w:val="007B6E2B"/>
    <w:rsid w:val="007B6F00"/>
    <w:rsid w:val="007B7257"/>
    <w:rsid w:val="007B7540"/>
    <w:rsid w:val="007B775A"/>
    <w:rsid w:val="007B78B7"/>
    <w:rsid w:val="007B7992"/>
    <w:rsid w:val="007B7A4C"/>
    <w:rsid w:val="007B7B1B"/>
    <w:rsid w:val="007B7B2E"/>
    <w:rsid w:val="007B7D17"/>
    <w:rsid w:val="007B7DD6"/>
    <w:rsid w:val="007B7ECD"/>
    <w:rsid w:val="007B7FAC"/>
    <w:rsid w:val="007C01E3"/>
    <w:rsid w:val="007C0277"/>
    <w:rsid w:val="007C09D3"/>
    <w:rsid w:val="007C0DCD"/>
    <w:rsid w:val="007C1052"/>
    <w:rsid w:val="007C1201"/>
    <w:rsid w:val="007C191E"/>
    <w:rsid w:val="007C19E3"/>
    <w:rsid w:val="007C1A0F"/>
    <w:rsid w:val="007C1ABE"/>
    <w:rsid w:val="007C1B42"/>
    <w:rsid w:val="007C1ECE"/>
    <w:rsid w:val="007C2863"/>
    <w:rsid w:val="007C2B7B"/>
    <w:rsid w:val="007C2DEC"/>
    <w:rsid w:val="007C2E00"/>
    <w:rsid w:val="007C2E11"/>
    <w:rsid w:val="007C2E37"/>
    <w:rsid w:val="007C3067"/>
    <w:rsid w:val="007C308E"/>
    <w:rsid w:val="007C30DC"/>
    <w:rsid w:val="007C3428"/>
    <w:rsid w:val="007C3965"/>
    <w:rsid w:val="007C3AA7"/>
    <w:rsid w:val="007C3BBC"/>
    <w:rsid w:val="007C3BE1"/>
    <w:rsid w:val="007C3C8C"/>
    <w:rsid w:val="007C4279"/>
    <w:rsid w:val="007C45AD"/>
    <w:rsid w:val="007C46A7"/>
    <w:rsid w:val="007C49AB"/>
    <w:rsid w:val="007C4D97"/>
    <w:rsid w:val="007C4EFE"/>
    <w:rsid w:val="007C505E"/>
    <w:rsid w:val="007C539C"/>
    <w:rsid w:val="007C5461"/>
    <w:rsid w:val="007C5847"/>
    <w:rsid w:val="007C5AE3"/>
    <w:rsid w:val="007C5B22"/>
    <w:rsid w:val="007C5D02"/>
    <w:rsid w:val="007C6121"/>
    <w:rsid w:val="007C612D"/>
    <w:rsid w:val="007C61A9"/>
    <w:rsid w:val="007C61DD"/>
    <w:rsid w:val="007C6473"/>
    <w:rsid w:val="007C655C"/>
    <w:rsid w:val="007C670C"/>
    <w:rsid w:val="007C6788"/>
    <w:rsid w:val="007C6789"/>
    <w:rsid w:val="007C6B9C"/>
    <w:rsid w:val="007C6C09"/>
    <w:rsid w:val="007C6C17"/>
    <w:rsid w:val="007C6D63"/>
    <w:rsid w:val="007C6D70"/>
    <w:rsid w:val="007C7319"/>
    <w:rsid w:val="007C7461"/>
    <w:rsid w:val="007C75ED"/>
    <w:rsid w:val="007C76CB"/>
    <w:rsid w:val="007C78A0"/>
    <w:rsid w:val="007C7AC4"/>
    <w:rsid w:val="007C7EAC"/>
    <w:rsid w:val="007C7F4E"/>
    <w:rsid w:val="007D000C"/>
    <w:rsid w:val="007D031D"/>
    <w:rsid w:val="007D06C0"/>
    <w:rsid w:val="007D086B"/>
    <w:rsid w:val="007D0A1F"/>
    <w:rsid w:val="007D0E30"/>
    <w:rsid w:val="007D0E78"/>
    <w:rsid w:val="007D10C8"/>
    <w:rsid w:val="007D112D"/>
    <w:rsid w:val="007D144C"/>
    <w:rsid w:val="007D1484"/>
    <w:rsid w:val="007D161C"/>
    <w:rsid w:val="007D16A7"/>
    <w:rsid w:val="007D1947"/>
    <w:rsid w:val="007D1998"/>
    <w:rsid w:val="007D1F5E"/>
    <w:rsid w:val="007D1F6E"/>
    <w:rsid w:val="007D2141"/>
    <w:rsid w:val="007D2665"/>
    <w:rsid w:val="007D2A77"/>
    <w:rsid w:val="007D2A79"/>
    <w:rsid w:val="007D2D7C"/>
    <w:rsid w:val="007D2DB9"/>
    <w:rsid w:val="007D2E42"/>
    <w:rsid w:val="007D30D7"/>
    <w:rsid w:val="007D340E"/>
    <w:rsid w:val="007D34A3"/>
    <w:rsid w:val="007D34D7"/>
    <w:rsid w:val="007D3653"/>
    <w:rsid w:val="007D36C4"/>
    <w:rsid w:val="007D38C5"/>
    <w:rsid w:val="007D3964"/>
    <w:rsid w:val="007D3AA1"/>
    <w:rsid w:val="007D3D1F"/>
    <w:rsid w:val="007D3D4E"/>
    <w:rsid w:val="007D3E2D"/>
    <w:rsid w:val="007D3F85"/>
    <w:rsid w:val="007D3FDA"/>
    <w:rsid w:val="007D3FEF"/>
    <w:rsid w:val="007D421C"/>
    <w:rsid w:val="007D4275"/>
    <w:rsid w:val="007D44FF"/>
    <w:rsid w:val="007D451D"/>
    <w:rsid w:val="007D453F"/>
    <w:rsid w:val="007D45CF"/>
    <w:rsid w:val="007D46CF"/>
    <w:rsid w:val="007D47CE"/>
    <w:rsid w:val="007D489C"/>
    <w:rsid w:val="007D4921"/>
    <w:rsid w:val="007D492C"/>
    <w:rsid w:val="007D49C3"/>
    <w:rsid w:val="007D4A7A"/>
    <w:rsid w:val="007D4A87"/>
    <w:rsid w:val="007D4AB7"/>
    <w:rsid w:val="007D4C41"/>
    <w:rsid w:val="007D4C5D"/>
    <w:rsid w:val="007D4CAC"/>
    <w:rsid w:val="007D4CEE"/>
    <w:rsid w:val="007D4E6D"/>
    <w:rsid w:val="007D4E97"/>
    <w:rsid w:val="007D5007"/>
    <w:rsid w:val="007D5087"/>
    <w:rsid w:val="007D5260"/>
    <w:rsid w:val="007D5292"/>
    <w:rsid w:val="007D53B0"/>
    <w:rsid w:val="007D5401"/>
    <w:rsid w:val="007D55A4"/>
    <w:rsid w:val="007D56B9"/>
    <w:rsid w:val="007D57D2"/>
    <w:rsid w:val="007D58C7"/>
    <w:rsid w:val="007D5B0D"/>
    <w:rsid w:val="007D5C20"/>
    <w:rsid w:val="007D5DA3"/>
    <w:rsid w:val="007D5DC7"/>
    <w:rsid w:val="007D5E27"/>
    <w:rsid w:val="007D6003"/>
    <w:rsid w:val="007D62A2"/>
    <w:rsid w:val="007D6353"/>
    <w:rsid w:val="007D64F0"/>
    <w:rsid w:val="007D65C6"/>
    <w:rsid w:val="007D699E"/>
    <w:rsid w:val="007D6D0C"/>
    <w:rsid w:val="007D6D84"/>
    <w:rsid w:val="007D6DB1"/>
    <w:rsid w:val="007D7152"/>
    <w:rsid w:val="007D71F4"/>
    <w:rsid w:val="007D7314"/>
    <w:rsid w:val="007D73E2"/>
    <w:rsid w:val="007D757A"/>
    <w:rsid w:val="007D7819"/>
    <w:rsid w:val="007D79B0"/>
    <w:rsid w:val="007D7A4B"/>
    <w:rsid w:val="007D7B07"/>
    <w:rsid w:val="007D7C38"/>
    <w:rsid w:val="007E02C5"/>
    <w:rsid w:val="007E0371"/>
    <w:rsid w:val="007E03FE"/>
    <w:rsid w:val="007E05B0"/>
    <w:rsid w:val="007E07AF"/>
    <w:rsid w:val="007E0931"/>
    <w:rsid w:val="007E0BB2"/>
    <w:rsid w:val="007E0EB9"/>
    <w:rsid w:val="007E162F"/>
    <w:rsid w:val="007E164F"/>
    <w:rsid w:val="007E166A"/>
    <w:rsid w:val="007E1AC7"/>
    <w:rsid w:val="007E1B10"/>
    <w:rsid w:val="007E1D41"/>
    <w:rsid w:val="007E1D66"/>
    <w:rsid w:val="007E2016"/>
    <w:rsid w:val="007E23CD"/>
    <w:rsid w:val="007E2420"/>
    <w:rsid w:val="007E2517"/>
    <w:rsid w:val="007E2904"/>
    <w:rsid w:val="007E2963"/>
    <w:rsid w:val="007E2B60"/>
    <w:rsid w:val="007E2B95"/>
    <w:rsid w:val="007E2C84"/>
    <w:rsid w:val="007E2DC1"/>
    <w:rsid w:val="007E303D"/>
    <w:rsid w:val="007E3174"/>
    <w:rsid w:val="007E31BF"/>
    <w:rsid w:val="007E32C9"/>
    <w:rsid w:val="007E3475"/>
    <w:rsid w:val="007E3603"/>
    <w:rsid w:val="007E3E1C"/>
    <w:rsid w:val="007E3E46"/>
    <w:rsid w:val="007E405F"/>
    <w:rsid w:val="007E40A5"/>
    <w:rsid w:val="007E4391"/>
    <w:rsid w:val="007E47D8"/>
    <w:rsid w:val="007E4956"/>
    <w:rsid w:val="007E4E1B"/>
    <w:rsid w:val="007E510C"/>
    <w:rsid w:val="007E5277"/>
    <w:rsid w:val="007E52E0"/>
    <w:rsid w:val="007E5346"/>
    <w:rsid w:val="007E535B"/>
    <w:rsid w:val="007E55B3"/>
    <w:rsid w:val="007E57B6"/>
    <w:rsid w:val="007E586D"/>
    <w:rsid w:val="007E58E5"/>
    <w:rsid w:val="007E5A29"/>
    <w:rsid w:val="007E5AC7"/>
    <w:rsid w:val="007E5BC5"/>
    <w:rsid w:val="007E5C5C"/>
    <w:rsid w:val="007E5CB6"/>
    <w:rsid w:val="007E5CFE"/>
    <w:rsid w:val="007E60D2"/>
    <w:rsid w:val="007E6145"/>
    <w:rsid w:val="007E63A7"/>
    <w:rsid w:val="007E67E9"/>
    <w:rsid w:val="007E6AC3"/>
    <w:rsid w:val="007E6B0F"/>
    <w:rsid w:val="007E6B1A"/>
    <w:rsid w:val="007E6F2A"/>
    <w:rsid w:val="007E7321"/>
    <w:rsid w:val="007E748D"/>
    <w:rsid w:val="007E7BBE"/>
    <w:rsid w:val="007E7F10"/>
    <w:rsid w:val="007E7FF7"/>
    <w:rsid w:val="007F0697"/>
    <w:rsid w:val="007F0AB0"/>
    <w:rsid w:val="007F0DA8"/>
    <w:rsid w:val="007F0DF2"/>
    <w:rsid w:val="007F0E04"/>
    <w:rsid w:val="007F0E28"/>
    <w:rsid w:val="007F0F2A"/>
    <w:rsid w:val="007F0F31"/>
    <w:rsid w:val="007F1209"/>
    <w:rsid w:val="007F1212"/>
    <w:rsid w:val="007F145A"/>
    <w:rsid w:val="007F159C"/>
    <w:rsid w:val="007F19D5"/>
    <w:rsid w:val="007F1A73"/>
    <w:rsid w:val="007F1C3E"/>
    <w:rsid w:val="007F1DB7"/>
    <w:rsid w:val="007F1E61"/>
    <w:rsid w:val="007F1F0B"/>
    <w:rsid w:val="007F1F28"/>
    <w:rsid w:val="007F202C"/>
    <w:rsid w:val="007F21D4"/>
    <w:rsid w:val="007F2247"/>
    <w:rsid w:val="007F22D9"/>
    <w:rsid w:val="007F2329"/>
    <w:rsid w:val="007F23AF"/>
    <w:rsid w:val="007F2453"/>
    <w:rsid w:val="007F25A0"/>
    <w:rsid w:val="007F2710"/>
    <w:rsid w:val="007F27C8"/>
    <w:rsid w:val="007F2EC7"/>
    <w:rsid w:val="007F2EE9"/>
    <w:rsid w:val="007F3438"/>
    <w:rsid w:val="007F3583"/>
    <w:rsid w:val="007F35F7"/>
    <w:rsid w:val="007F378B"/>
    <w:rsid w:val="007F37E6"/>
    <w:rsid w:val="007F38F5"/>
    <w:rsid w:val="007F395B"/>
    <w:rsid w:val="007F3B7F"/>
    <w:rsid w:val="007F3D3B"/>
    <w:rsid w:val="007F40C8"/>
    <w:rsid w:val="007F4144"/>
    <w:rsid w:val="007F4582"/>
    <w:rsid w:val="007F48CC"/>
    <w:rsid w:val="007F497D"/>
    <w:rsid w:val="007F4A2B"/>
    <w:rsid w:val="007F4C0C"/>
    <w:rsid w:val="007F4E61"/>
    <w:rsid w:val="007F4F22"/>
    <w:rsid w:val="007F51CC"/>
    <w:rsid w:val="007F53A3"/>
    <w:rsid w:val="007F5591"/>
    <w:rsid w:val="007F5691"/>
    <w:rsid w:val="007F56E2"/>
    <w:rsid w:val="007F587A"/>
    <w:rsid w:val="007F5960"/>
    <w:rsid w:val="007F5A27"/>
    <w:rsid w:val="007F611B"/>
    <w:rsid w:val="007F622B"/>
    <w:rsid w:val="007F6484"/>
    <w:rsid w:val="007F64E1"/>
    <w:rsid w:val="007F65A5"/>
    <w:rsid w:val="007F6876"/>
    <w:rsid w:val="007F6954"/>
    <w:rsid w:val="007F6A58"/>
    <w:rsid w:val="007F6B54"/>
    <w:rsid w:val="007F6C81"/>
    <w:rsid w:val="007F6DB9"/>
    <w:rsid w:val="007F6E97"/>
    <w:rsid w:val="007F6F2D"/>
    <w:rsid w:val="007F764C"/>
    <w:rsid w:val="007F770C"/>
    <w:rsid w:val="007F776F"/>
    <w:rsid w:val="007F778C"/>
    <w:rsid w:val="007F784A"/>
    <w:rsid w:val="007F7A45"/>
    <w:rsid w:val="0080017C"/>
    <w:rsid w:val="00800194"/>
    <w:rsid w:val="00800320"/>
    <w:rsid w:val="008004B5"/>
    <w:rsid w:val="008004EB"/>
    <w:rsid w:val="00800506"/>
    <w:rsid w:val="0080056E"/>
    <w:rsid w:val="00800836"/>
    <w:rsid w:val="00800AEC"/>
    <w:rsid w:val="00800B69"/>
    <w:rsid w:val="00800D02"/>
    <w:rsid w:val="00800D98"/>
    <w:rsid w:val="00800DE9"/>
    <w:rsid w:val="00800E53"/>
    <w:rsid w:val="00800E66"/>
    <w:rsid w:val="00800F97"/>
    <w:rsid w:val="00801204"/>
    <w:rsid w:val="008013AF"/>
    <w:rsid w:val="00801458"/>
    <w:rsid w:val="008014DA"/>
    <w:rsid w:val="0080156E"/>
    <w:rsid w:val="0080175E"/>
    <w:rsid w:val="00801814"/>
    <w:rsid w:val="00801995"/>
    <w:rsid w:val="00801ACC"/>
    <w:rsid w:val="00801BE3"/>
    <w:rsid w:val="00801C1D"/>
    <w:rsid w:val="00801CD2"/>
    <w:rsid w:val="0080206E"/>
    <w:rsid w:val="00802183"/>
    <w:rsid w:val="008022FD"/>
    <w:rsid w:val="00802309"/>
    <w:rsid w:val="008024CF"/>
    <w:rsid w:val="008025A5"/>
    <w:rsid w:val="008025CE"/>
    <w:rsid w:val="00802744"/>
    <w:rsid w:val="008027D8"/>
    <w:rsid w:val="008029D5"/>
    <w:rsid w:val="00802CDE"/>
    <w:rsid w:val="00802D34"/>
    <w:rsid w:val="0080305E"/>
    <w:rsid w:val="0080361C"/>
    <w:rsid w:val="00803D92"/>
    <w:rsid w:val="00804090"/>
    <w:rsid w:val="008041D2"/>
    <w:rsid w:val="00804222"/>
    <w:rsid w:val="008042DB"/>
    <w:rsid w:val="00804583"/>
    <w:rsid w:val="008048A5"/>
    <w:rsid w:val="00804937"/>
    <w:rsid w:val="00804B62"/>
    <w:rsid w:val="00804CCF"/>
    <w:rsid w:val="00804FFB"/>
    <w:rsid w:val="00805246"/>
    <w:rsid w:val="00805327"/>
    <w:rsid w:val="00805716"/>
    <w:rsid w:val="008058E7"/>
    <w:rsid w:val="008058F8"/>
    <w:rsid w:val="00805B2B"/>
    <w:rsid w:val="00806027"/>
    <w:rsid w:val="00806033"/>
    <w:rsid w:val="008064C3"/>
    <w:rsid w:val="008065C2"/>
    <w:rsid w:val="0080683F"/>
    <w:rsid w:val="008069B5"/>
    <w:rsid w:val="00806A25"/>
    <w:rsid w:val="00806F28"/>
    <w:rsid w:val="00806F53"/>
    <w:rsid w:val="008070E2"/>
    <w:rsid w:val="008071EE"/>
    <w:rsid w:val="00807255"/>
    <w:rsid w:val="00807352"/>
    <w:rsid w:val="00807446"/>
    <w:rsid w:val="008074E3"/>
    <w:rsid w:val="00807731"/>
    <w:rsid w:val="008077FB"/>
    <w:rsid w:val="008078B5"/>
    <w:rsid w:val="00807A3D"/>
    <w:rsid w:val="00807BA7"/>
    <w:rsid w:val="00807CCB"/>
    <w:rsid w:val="00807F7F"/>
    <w:rsid w:val="00810105"/>
    <w:rsid w:val="00810192"/>
    <w:rsid w:val="008101DD"/>
    <w:rsid w:val="00810345"/>
    <w:rsid w:val="0081056F"/>
    <w:rsid w:val="008109F5"/>
    <w:rsid w:val="00810C69"/>
    <w:rsid w:val="00810EDC"/>
    <w:rsid w:val="00810F0C"/>
    <w:rsid w:val="00811287"/>
    <w:rsid w:val="0081145D"/>
    <w:rsid w:val="0081156F"/>
    <w:rsid w:val="008115A1"/>
    <w:rsid w:val="0081170F"/>
    <w:rsid w:val="008118A9"/>
    <w:rsid w:val="008118EA"/>
    <w:rsid w:val="00811A53"/>
    <w:rsid w:val="00811D75"/>
    <w:rsid w:val="00812196"/>
    <w:rsid w:val="008124AB"/>
    <w:rsid w:val="008124B0"/>
    <w:rsid w:val="008124BB"/>
    <w:rsid w:val="0081273E"/>
    <w:rsid w:val="0081294A"/>
    <w:rsid w:val="00812BDB"/>
    <w:rsid w:val="00812DA7"/>
    <w:rsid w:val="00812F26"/>
    <w:rsid w:val="00813249"/>
    <w:rsid w:val="0081324D"/>
    <w:rsid w:val="0081327B"/>
    <w:rsid w:val="00813290"/>
    <w:rsid w:val="0081335B"/>
    <w:rsid w:val="008134F9"/>
    <w:rsid w:val="00813598"/>
    <w:rsid w:val="00813735"/>
    <w:rsid w:val="00813B14"/>
    <w:rsid w:val="00813BFA"/>
    <w:rsid w:val="00813C06"/>
    <w:rsid w:val="00813D9B"/>
    <w:rsid w:val="00813DC9"/>
    <w:rsid w:val="00813F3A"/>
    <w:rsid w:val="0081401E"/>
    <w:rsid w:val="00814061"/>
    <w:rsid w:val="00814776"/>
    <w:rsid w:val="00814B24"/>
    <w:rsid w:val="00814C12"/>
    <w:rsid w:val="00814C71"/>
    <w:rsid w:val="00814CB5"/>
    <w:rsid w:val="00814D4C"/>
    <w:rsid w:val="00814D53"/>
    <w:rsid w:val="00814D8C"/>
    <w:rsid w:val="00815146"/>
    <w:rsid w:val="0081525D"/>
    <w:rsid w:val="00815307"/>
    <w:rsid w:val="008157F5"/>
    <w:rsid w:val="00815838"/>
    <w:rsid w:val="0081583D"/>
    <w:rsid w:val="00815930"/>
    <w:rsid w:val="0081596C"/>
    <w:rsid w:val="00815DA5"/>
    <w:rsid w:val="00815DE8"/>
    <w:rsid w:val="00815F7C"/>
    <w:rsid w:val="00815FE5"/>
    <w:rsid w:val="00816095"/>
    <w:rsid w:val="008160A1"/>
    <w:rsid w:val="008160B2"/>
    <w:rsid w:val="008161D7"/>
    <w:rsid w:val="00816769"/>
    <w:rsid w:val="008167A9"/>
    <w:rsid w:val="00816926"/>
    <w:rsid w:val="00816ACD"/>
    <w:rsid w:val="00816D24"/>
    <w:rsid w:val="00817048"/>
    <w:rsid w:val="008170B4"/>
    <w:rsid w:val="008174DE"/>
    <w:rsid w:val="00817546"/>
    <w:rsid w:val="008177E0"/>
    <w:rsid w:val="008179DA"/>
    <w:rsid w:val="00817A79"/>
    <w:rsid w:val="00817B0B"/>
    <w:rsid w:val="00817DE5"/>
    <w:rsid w:val="008201CD"/>
    <w:rsid w:val="00820225"/>
    <w:rsid w:val="0082030A"/>
    <w:rsid w:val="00820397"/>
    <w:rsid w:val="00820447"/>
    <w:rsid w:val="008208A9"/>
    <w:rsid w:val="008209EA"/>
    <w:rsid w:val="00820B26"/>
    <w:rsid w:val="00820B8F"/>
    <w:rsid w:val="00820B9D"/>
    <w:rsid w:val="00820D05"/>
    <w:rsid w:val="00820DE0"/>
    <w:rsid w:val="00820EE6"/>
    <w:rsid w:val="00820F26"/>
    <w:rsid w:val="00820FAE"/>
    <w:rsid w:val="00820FB2"/>
    <w:rsid w:val="00820FDF"/>
    <w:rsid w:val="008210B0"/>
    <w:rsid w:val="008212C3"/>
    <w:rsid w:val="008216C5"/>
    <w:rsid w:val="008217EE"/>
    <w:rsid w:val="008218AD"/>
    <w:rsid w:val="008218EA"/>
    <w:rsid w:val="00821920"/>
    <w:rsid w:val="00821A9A"/>
    <w:rsid w:val="00821ABB"/>
    <w:rsid w:val="00821C4B"/>
    <w:rsid w:val="00821D0D"/>
    <w:rsid w:val="00822094"/>
    <w:rsid w:val="0082211C"/>
    <w:rsid w:val="00822530"/>
    <w:rsid w:val="008226F5"/>
    <w:rsid w:val="0082278A"/>
    <w:rsid w:val="0082296D"/>
    <w:rsid w:val="00822AA0"/>
    <w:rsid w:val="00822AC3"/>
    <w:rsid w:val="00822B8C"/>
    <w:rsid w:val="00822BE6"/>
    <w:rsid w:val="00822CDB"/>
    <w:rsid w:val="00822D08"/>
    <w:rsid w:val="00822DD7"/>
    <w:rsid w:val="00822EE8"/>
    <w:rsid w:val="0082351B"/>
    <w:rsid w:val="008239A5"/>
    <w:rsid w:val="00823B0B"/>
    <w:rsid w:val="00823D54"/>
    <w:rsid w:val="00823DE9"/>
    <w:rsid w:val="00823ECB"/>
    <w:rsid w:val="008240DE"/>
    <w:rsid w:val="008242D7"/>
    <w:rsid w:val="008243A1"/>
    <w:rsid w:val="008246B6"/>
    <w:rsid w:val="0082484B"/>
    <w:rsid w:val="00824C66"/>
    <w:rsid w:val="00825117"/>
    <w:rsid w:val="00825132"/>
    <w:rsid w:val="008252C8"/>
    <w:rsid w:val="008252E2"/>
    <w:rsid w:val="008253D6"/>
    <w:rsid w:val="00825933"/>
    <w:rsid w:val="00825A37"/>
    <w:rsid w:val="00825AF4"/>
    <w:rsid w:val="00825BC5"/>
    <w:rsid w:val="00825C67"/>
    <w:rsid w:val="00825CE4"/>
    <w:rsid w:val="00826164"/>
    <w:rsid w:val="00826433"/>
    <w:rsid w:val="008266A6"/>
    <w:rsid w:val="00826971"/>
    <w:rsid w:val="00826B52"/>
    <w:rsid w:val="00826B7E"/>
    <w:rsid w:val="00826BDA"/>
    <w:rsid w:val="008273F5"/>
    <w:rsid w:val="0082750D"/>
    <w:rsid w:val="008276A2"/>
    <w:rsid w:val="00827724"/>
    <w:rsid w:val="00827938"/>
    <w:rsid w:val="00827CE8"/>
    <w:rsid w:val="00827CF7"/>
    <w:rsid w:val="00827D79"/>
    <w:rsid w:val="0083000B"/>
    <w:rsid w:val="008303A6"/>
    <w:rsid w:val="00830479"/>
    <w:rsid w:val="008306BD"/>
    <w:rsid w:val="008306BF"/>
    <w:rsid w:val="00830C76"/>
    <w:rsid w:val="00830CED"/>
    <w:rsid w:val="00830D1F"/>
    <w:rsid w:val="00830F8E"/>
    <w:rsid w:val="00831193"/>
    <w:rsid w:val="008312E7"/>
    <w:rsid w:val="00831388"/>
    <w:rsid w:val="008313A8"/>
    <w:rsid w:val="008313DF"/>
    <w:rsid w:val="0083145F"/>
    <w:rsid w:val="0083161D"/>
    <w:rsid w:val="008316D2"/>
    <w:rsid w:val="00831A47"/>
    <w:rsid w:val="00831AAB"/>
    <w:rsid w:val="00831E6C"/>
    <w:rsid w:val="00831FA1"/>
    <w:rsid w:val="00832054"/>
    <w:rsid w:val="00832298"/>
    <w:rsid w:val="008322F8"/>
    <w:rsid w:val="008326DE"/>
    <w:rsid w:val="00832719"/>
    <w:rsid w:val="008329A1"/>
    <w:rsid w:val="00832A9A"/>
    <w:rsid w:val="00832AFC"/>
    <w:rsid w:val="00832D5F"/>
    <w:rsid w:val="00832D74"/>
    <w:rsid w:val="00833250"/>
    <w:rsid w:val="00833661"/>
    <w:rsid w:val="0083375A"/>
    <w:rsid w:val="008337EB"/>
    <w:rsid w:val="00833830"/>
    <w:rsid w:val="0083385E"/>
    <w:rsid w:val="00833B25"/>
    <w:rsid w:val="00833F87"/>
    <w:rsid w:val="00833FE0"/>
    <w:rsid w:val="008341A8"/>
    <w:rsid w:val="0083448F"/>
    <w:rsid w:val="00834606"/>
    <w:rsid w:val="00834757"/>
    <w:rsid w:val="0083495D"/>
    <w:rsid w:val="00835014"/>
    <w:rsid w:val="008351F7"/>
    <w:rsid w:val="008358E3"/>
    <w:rsid w:val="0083598E"/>
    <w:rsid w:val="008359B4"/>
    <w:rsid w:val="008359D9"/>
    <w:rsid w:val="008359FB"/>
    <w:rsid w:val="00835ACF"/>
    <w:rsid w:val="00835B01"/>
    <w:rsid w:val="00835CE7"/>
    <w:rsid w:val="00835CF4"/>
    <w:rsid w:val="0083609A"/>
    <w:rsid w:val="008363D8"/>
    <w:rsid w:val="008365FC"/>
    <w:rsid w:val="008366BB"/>
    <w:rsid w:val="008366C5"/>
    <w:rsid w:val="00836874"/>
    <w:rsid w:val="008368AE"/>
    <w:rsid w:val="00837230"/>
    <w:rsid w:val="008373B1"/>
    <w:rsid w:val="008373FF"/>
    <w:rsid w:val="008375CE"/>
    <w:rsid w:val="00837B78"/>
    <w:rsid w:val="00837C61"/>
    <w:rsid w:val="00837D1E"/>
    <w:rsid w:val="00840043"/>
    <w:rsid w:val="008400DB"/>
    <w:rsid w:val="0084026E"/>
    <w:rsid w:val="008402AB"/>
    <w:rsid w:val="008403C3"/>
    <w:rsid w:val="00840645"/>
    <w:rsid w:val="00840B49"/>
    <w:rsid w:val="00841105"/>
    <w:rsid w:val="00841138"/>
    <w:rsid w:val="00841193"/>
    <w:rsid w:val="008411AF"/>
    <w:rsid w:val="0084160A"/>
    <w:rsid w:val="00841E79"/>
    <w:rsid w:val="00841FAB"/>
    <w:rsid w:val="00842004"/>
    <w:rsid w:val="00842094"/>
    <w:rsid w:val="008422AB"/>
    <w:rsid w:val="00842465"/>
    <w:rsid w:val="0084256E"/>
    <w:rsid w:val="008426FF"/>
    <w:rsid w:val="0084294F"/>
    <w:rsid w:val="00842A2A"/>
    <w:rsid w:val="00842C31"/>
    <w:rsid w:val="00842FBE"/>
    <w:rsid w:val="0084331E"/>
    <w:rsid w:val="00843617"/>
    <w:rsid w:val="008438AD"/>
    <w:rsid w:val="0084394D"/>
    <w:rsid w:val="00843B8A"/>
    <w:rsid w:val="00843BEF"/>
    <w:rsid w:val="00843EB0"/>
    <w:rsid w:val="00843F24"/>
    <w:rsid w:val="0084401B"/>
    <w:rsid w:val="008440D1"/>
    <w:rsid w:val="0084446A"/>
    <w:rsid w:val="00844566"/>
    <w:rsid w:val="00844687"/>
    <w:rsid w:val="0084483F"/>
    <w:rsid w:val="00844B68"/>
    <w:rsid w:val="00844DAB"/>
    <w:rsid w:val="00844DB9"/>
    <w:rsid w:val="00844E9F"/>
    <w:rsid w:val="00844FB4"/>
    <w:rsid w:val="00845014"/>
    <w:rsid w:val="00845134"/>
    <w:rsid w:val="00845192"/>
    <w:rsid w:val="0084522C"/>
    <w:rsid w:val="008454FD"/>
    <w:rsid w:val="0084556B"/>
    <w:rsid w:val="0084565D"/>
    <w:rsid w:val="008457C8"/>
    <w:rsid w:val="00845A5E"/>
    <w:rsid w:val="00845AA1"/>
    <w:rsid w:val="0084608F"/>
    <w:rsid w:val="00846149"/>
    <w:rsid w:val="0084628A"/>
    <w:rsid w:val="00846322"/>
    <w:rsid w:val="00846377"/>
    <w:rsid w:val="00846396"/>
    <w:rsid w:val="00846AD7"/>
    <w:rsid w:val="00846C44"/>
    <w:rsid w:val="00846FFA"/>
    <w:rsid w:val="00847049"/>
    <w:rsid w:val="00847130"/>
    <w:rsid w:val="008473E6"/>
    <w:rsid w:val="008475A0"/>
    <w:rsid w:val="008476FB"/>
    <w:rsid w:val="0084787B"/>
    <w:rsid w:val="00847A69"/>
    <w:rsid w:val="00847AE0"/>
    <w:rsid w:val="00847B75"/>
    <w:rsid w:val="00847BF7"/>
    <w:rsid w:val="00847CBD"/>
    <w:rsid w:val="00847DE6"/>
    <w:rsid w:val="00850020"/>
    <w:rsid w:val="00850614"/>
    <w:rsid w:val="0085065F"/>
    <w:rsid w:val="008506A9"/>
    <w:rsid w:val="0085074C"/>
    <w:rsid w:val="00850756"/>
    <w:rsid w:val="0085086B"/>
    <w:rsid w:val="008508DF"/>
    <w:rsid w:val="008508E8"/>
    <w:rsid w:val="00850BCF"/>
    <w:rsid w:val="00850CCC"/>
    <w:rsid w:val="00850ECD"/>
    <w:rsid w:val="00851017"/>
    <w:rsid w:val="0085107E"/>
    <w:rsid w:val="008510BD"/>
    <w:rsid w:val="00851152"/>
    <w:rsid w:val="00851444"/>
    <w:rsid w:val="00851713"/>
    <w:rsid w:val="0085173E"/>
    <w:rsid w:val="008518D5"/>
    <w:rsid w:val="00851921"/>
    <w:rsid w:val="00851F73"/>
    <w:rsid w:val="00851FF6"/>
    <w:rsid w:val="00852006"/>
    <w:rsid w:val="008520F5"/>
    <w:rsid w:val="0085218A"/>
    <w:rsid w:val="00852727"/>
    <w:rsid w:val="008528B7"/>
    <w:rsid w:val="008529A5"/>
    <w:rsid w:val="00852C1C"/>
    <w:rsid w:val="00852C9A"/>
    <w:rsid w:val="00852D9F"/>
    <w:rsid w:val="00852E5C"/>
    <w:rsid w:val="008530E4"/>
    <w:rsid w:val="0085326D"/>
    <w:rsid w:val="0085338E"/>
    <w:rsid w:val="008534D3"/>
    <w:rsid w:val="0085353C"/>
    <w:rsid w:val="008535EC"/>
    <w:rsid w:val="00853645"/>
    <w:rsid w:val="008537A4"/>
    <w:rsid w:val="00853887"/>
    <w:rsid w:val="00853A7E"/>
    <w:rsid w:val="00853A96"/>
    <w:rsid w:val="00853BE3"/>
    <w:rsid w:val="00853D9D"/>
    <w:rsid w:val="00853E4C"/>
    <w:rsid w:val="00853E86"/>
    <w:rsid w:val="00853F69"/>
    <w:rsid w:val="008543F0"/>
    <w:rsid w:val="008546E6"/>
    <w:rsid w:val="0085493F"/>
    <w:rsid w:val="008549AF"/>
    <w:rsid w:val="00854E1B"/>
    <w:rsid w:val="00854EB8"/>
    <w:rsid w:val="00854F48"/>
    <w:rsid w:val="00855400"/>
    <w:rsid w:val="008555E7"/>
    <w:rsid w:val="0085564D"/>
    <w:rsid w:val="00855D28"/>
    <w:rsid w:val="00855D56"/>
    <w:rsid w:val="00855F11"/>
    <w:rsid w:val="00855FAA"/>
    <w:rsid w:val="00855FCE"/>
    <w:rsid w:val="0085600A"/>
    <w:rsid w:val="00856073"/>
    <w:rsid w:val="008565FD"/>
    <w:rsid w:val="0085685C"/>
    <w:rsid w:val="00856A5E"/>
    <w:rsid w:val="00856AE2"/>
    <w:rsid w:val="00856D74"/>
    <w:rsid w:val="0085701D"/>
    <w:rsid w:val="008573A6"/>
    <w:rsid w:val="00857556"/>
    <w:rsid w:val="008575DD"/>
    <w:rsid w:val="0085769F"/>
    <w:rsid w:val="008576A9"/>
    <w:rsid w:val="00857763"/>
    <w:rsid w:val="008577D7"/>
    <w:rsid w:val="008579C4"/>
    <w:rsid w:val="00857C3F"/>
    <w:rsid w:val="00857CBA"/>
    <w:rsid w:val="00857DF1"/>
    <w:rsid w:val="00857FD8"/>
    <w:rsid w:val="00860068"/>
    <w:rsid w:val="0086011E"/>
    <w:rsid w:val="008601E7"/>
    <w:rsid w:val="008601FB"/>
    <w:rsid w:val="008603B5"/>
    <w:rsid w:val="00860417"/>
    <w:rsid w:val="00860512"/>
    <w:rsid w:val="00860531"/>
    <w:rsid w:val="00860555"/>
    <w:rsid w:val="00860559"/>
    <w:rsid w:val="00860639"/>
    <w:rsid w:val="00860652"/>
    <w:rsid w:val="008606DC"/>
    <w:rsid w:val="00860A6D"/>
    <w:rsid w:val="00860E1C"/>
    <w:rsid w:val="0086136B"/>
    <w:rsid w:val="0086139A"/>
    <w:rsid w:val="00861421"/>
    <w:rsid w:val="00861558"/>
    <w:rsid w:val="00861823"/>
    <w:rsid w:val="008619D4"/>
    <w:rsid w:val="008619F7"/>
    <w:rsid w:val="00861AC5"/>
    <w:rsid w:val="00861AD5"/>
    <w:rsid w:val="00861CAF"/>
    <w:rsid w:val="00862262"/>
    <w:rsid w:val="0086235F"/>
    <w:rsid w:val="008623D9"/>
    <w:rsid w:val="00862420"/>
    <w:rsid w:val="00862443"/>
    <w:rsid w:val="00862633"/>
    <w:rsid w:val="00862933"/>
    <w:rsid w:val="0086293B"/>
    <w:rsid w:val="00862982"/>
    <w:rsid w:val="00862A22"/>
    <w:rsid w:val="00862A5C"/>
    <w:rsid w:val="00862B81"/>
    <w:rsid w:val="00862CC5"/>
    <w:rsid w:val="00863140"/>
    <w:rsid w:val="008631EC"/>
    <w:rsid w:val="00863202"/>
    <w:rsid w:val="0086322E"/>
    <w:rsid w:val="0086327B"/>
    <w:rsid w:val="008632B9"/>
    <w:rsid w:val="0086333C"/>
    <w:rsid w:val="00863369"/>
    <w:rsid w:val="008633C3"/>
    <w:rsid w:val="0086368B"/>
    <w:rsid w:val="008636EC"/>
    <w:rsid w:val="00863785"/>
    <w:rsid w:val="00863820"/>
    <w:rsid w:val="00863E1F"/>
    <w:rsid w:val="008640D1"/>
    <w:rsid w:val="0086410E"/>
    <w:rsid w:val="008643C7"/>
    <w:rsid w:val="00864554"/>
    <w:rsid w:val="00864699"/>
    <w:rsid w:val="008646BF"/>
    <w:rsid w:val="00864ABE"/>
    <w:rsid w:val="00864C06"/>
    <w:rsid w:val="00864C39"/>
    <w:rsid w:val="00864EF8"/>
    <w:rsid w:val="00865082"/>
    <w:rsid w:val="0086513B"/>
    <w:rsid w:val="008654B3"/>
    <w:rsid w:val="008654DB"/>
    <w:rsid w:val="00865AEC"/>
    <w:rsid w:val="00865CD9"/>
    <w:rsid w:val="00865F39"/>
    <w:rsid w:val="008661EB"/>
    <w:rsid w:val="008665FF"/>
    <w:rsid w:val="00866634"/>
    <w:rsid w:val="00866799"/>
    <w:rsid w:val="008667B4"/>
    <w:rsid w:val="00866E11"/>
    <w:rsid w:val="00866E94"/>
    <w:rsid w:val="00866F9F"/>
    <w:rsid w:val="008670FB"/>
    <w:rsid w:val="00867501"/>
    <w:rsid w:val="00867565"/>
    <w:rsid w:val="00867620"/>
    <w:rsid w:val="0086764E"/>
    <w:rsid w:val="00867681"/>
    <w:rsid w:val="008676DD"/>
    <w:rsid w:val="00867894"/>
    <w:rsid w:val="00867A5C"/>
    <w:rsid w:val="00867C13"/>
    <w:rsid w:val="00867C76"/>
    <w:rsid w:val="00867CC8"/>
    <w:rsid w:val="00867CF9"/>
    <w:rsid w:val="00867D89"/>
    <w:rsid w:val="00870288"/>
    <w:rsid w:val="0087035A"/>
    <w:rsid w:val="008705EC"/>
    <w:rsid w:val="0087098D"/>
    <w:rsid w:val="00870DA1"/>
    <w:rsid w:val="00871103"/>
    <w:rsid w:val="008711BF"/>
    <w:rsid w:val="00871201"/>
    <w:rsid w:val="008713A4"/>
    <w:rsid w:val="00871430"/>
    <w:rsid w:val="00871522"/>
    <w:rsid w:val="008717B8"/>
    <w:rsid w:val="00871813"/>
    <w:rsid w:val="0087191A"/>
    <w:rsid w:val="00871C4E"/>
    <w:rsid w:val="00871F03"/>
    <w:rsid w:val="00872066"/>
    <w:rsid w:val="008720CE"/>
    <w:rsid w:val="00872218"/>
    <w:rsid w:val="00872260"/>
    <w:rsid w:val="00872472"/>
    <w:rsid w:val="00872896"/>
    <w:rsid w:val="00872B5A"/>
    <w:rsid w:val="00872B76"/>
    <w:rsid w:val="00872B81"/>
    <w:rsid w:val="00872C44"/>
    <w:rsid w:val="00872E62"/>
    <w:rsid w:val="00872EA2"/>
    <w:rsid w:val="00873095"/>
    <w:rsid w:val="0087336D"/>
    <w:rsid w:val="008733CF"/>
    <w:rsid w:val="00873537"/>
    <w:rsid w:val="00873692"/>
    <w:rsid w:val="0087377E"/>
    <w:rsid w:val="00873944"/>
    <w:rsid w:val="00873AE2"/>
    <w:rsid w:val="00873E3D"/>
    <w:rsid w:val="00873FF2"/>
    <w:rsid w:val="008741EC"/>
    <w:rsid w:val="008742F3"/>
    <w:rsid w:val="00874447"/>
    <w:rsid w:val="00874AD5"/>
    <w:rsid w:val="008750C2"/>
    <w:rsid w:val="008750CD"/>
    <w:rsid w:val="008752C8"/>
    <w:rsid w:val="0087536E"/>
    <w:rsid w:val="00875424"/>
    <w:rsid w:val="0087550D"/>
    <w:rsid w:val="00875911"/>
    <w:rsid w:val="00875D44"/>
    <w:rsid w:val="00875D98"/>
    <w:rsid w:val="00875DB4"/>
    <w:rsid w:val="00875F2A"/>
    <w:rsid w:val="008760C7"/>
    <w:rsid w:val="008761D0"/>
    <w:rsid w:val="0087634E"/>
    <w:rsid w:val="00876A5D"/>
    <w:rsid w:val="00876AFA"/>
    <w:rsid w:val="00876B9D"/>
    <w:rsid w:val="00876EFA"/>
    <w:rsid w:val="008770CA"/>
    <w:rsid w:val="0087712F"/>
    <w:rsid w:val="00877176"/>
    <w:rsid w:val="0087724E"/>
    <w:rsid w:val="008773F0"/>
    <w:rsid w:val="00877540"/>
    <w:rsid w:val="00877599"/>
    <w:rsid w:val="008775AF"/>
    <w:rsid w:val="00877E6D"/>
    <w:rsid w:val="00880219"/>
    <w:rsid w:val="008802A9"/>
    <w:rsid w:val="008802B8"/>
    <w:rsid w:val="008802DD"/>
    <w:rsid w:val="00880545"/>
    <w:rsid w:val="008807F4"/>
    <w:rsid w:val="00880857"/>
    <w:rsid w:val="00880B4F"/>
    <w:rsid w:val="00880BEF"/>
    <w:rsid w:val="0088138C"/>
    <w:rsid w:val="00881486"/>
    <w:rsid w:val="008817B6"/>
    <w:rsid w:val="008817C3"/>
    <w:rsid w:val="008817CC"/>
    <w:rsid w:val="00881989"/>
    <w:rsid w:val="00881BCF"/>
    <w:rsid w:val="00881D2A"/>
    <w:rsid w:val="00881E98"/>
    <w:rsid w:val="0088206D"/>
    <w:rsid w:val="00882106"/>
    <w:rsid w:val="0088219F"/>
    <w:rsid w:val="0088226D"/>
    <w:rsid w:val="0088232B"/>
    <w:rsid w:val="008827DA"/>
    <w:rsid w:val="00882A5B"/>
    <w:rsid w:val="00882BD0"/>
    <w:rsid w:val="00882F80"/>
    <w:rsid w:val="00882FE9"/>
    <w:rsid w:val="008831C6"/>
    <w:rsid w:val="0088348D"/>
    <w:rsid w:val="0088360F"/>
    <w:rsid w:val="008836A2"/>
    <w:rsid w:val="008836EA"/>
    <w:rsid w:val="00883748"/>
    <w:rsid w:val="008837CE"/>
    <w:rsid w:val="00883A70"/>
    <w:rsid w:val="00883AF2"/>
    <w:rsid w:val="00883E99"/>
    <w:rsid w:val="0088408B"/>
    <w:rsid w:val="008843E5"/>
    <w:rsid w:val="0088446D"/>
    <w:rsid w:val="0088449E"/>
    <w:rsid w:val="00884568"/>
    <w:rsid w:val="00884640"/>
    <w:rsid w:val="00884715"/>
    <w:rsid w:val="00884886"/>
    <w:rsid w:val="00884E28"/>
    <w:rsid w:val="00884F6D"/>
    <w:rsid w:val="00885221"/>
    <w:rsid w:val="00885227"/>
    <w:rsid w:val="008852F4"/>
    <w:rsid w:val="00885331"/>
    <w:rsid w:val="00885432"/>
    <w:rsid w:val="00885644"/>
    <w:rsid w:val="008856DC"/>
    <w:rsid w:val="0088590A"/>
    <w:rsid w:val="00885A5E"/>
    <w:rsid w:val="00885A6A"/>
    <w:rsid w:val="00885E6B"/>
    <w:rsid w:val="00885F48"/>
    <w:rsid w:val="008860DE"/>
    <w:rsid w:val="008862CF"/>
    <w:rsid w:val="00886835"/>
    <w:rsid w:val="008869CC"/>
    <w:rsid w:val="00886A7D"/>
    <w:rsid w:val="00886C7F"/>
    <w:rsid w:val="00886F98"/>
    <w:rsid w:val="0088710E"/>
    <w:rsid w:val="0088736A"/>
    <w:rsid w:val="0088776A"/>
    <w:rsid w:val="008877E6"/>
    <w:rsid w:val="00887B7D"/>
    <w:rsid w:val="00887BB5"/>
    <w:rsid w:val="00887EA2"/>
    <w:rsid w:val="00887FBB"/>
    <w:rsid w:val="0089001A"/>
    <w:rsid w:val="008900D6"/>
    <w:rsid w:val="00890248"/>
    <w:rsid w:val="00890314"/>
    <w:rsid w:val="008903B3"/>
    <w:rsid w:val="00890463"/>
    <w:rsid w:val="00890AB5"/>
    <w:rsid w:val="00890BBF"/>
    <w:rsid w:val="00890ECD"/>
    <w:rsid w:val="00891521"/>
    <w:rsid w:val="00891608"/>
    <w:rsid w:val="0089160A"/>
    <w:rsid w:val="00891B7F"/>
    <w:rsid w:val="00891BFB"/>
    <w:rsid w:val="00891EF1"/>
    <w:rsid w:val="008920F7"/>
    <w:rsid w:val="00892178"/>
    <w:rsid w:val="00892184"/>
    <w:rsid w:val="00892439"/>
    <w:rsid w:val="00892741"/>
    <w:rsid w:val="008927EC"/>
    <w:rsid w:val="008928E5"/>
    <w:rsid w:val="008929BC"/>
    <w:rsid w:val="00892B37"/>
    <w:rsid w:val="00892C37"/>
    <w:rsid w:val="00892C70"/>
    <w:rsid w:val="00892EF5"/>
    <w:rsid w:val="00892F58"/>
    <w:rsid w:val="008931C3"/>
    <w:rsid w:val="0089335D"/>
    <w:rsid w:val="008933F3"/>
    <w:rsid w:val="008933FA"/>
    <w:rsid w:val="008935A9"/>
    <w:rsid w:val="008935CD"/>
    <w:rsid w:val="008939F1"/>
    <w:rsid w:val="00893E1D"/>
    <w:rsid w:val="008942DA"/>
    <w:rsid w:val="0089444A"/>
    <w:rsid w:val="00894653"/>
    <w:rsid w:val="00894A1C"/>
    <w:rsid w:val="00894BCA"/>
    <w:rsid w:val="00894E15"/>
    <w:rsid w:val="00894F50"/>
    <w:rsid w:val="00894F78"/>
    <w:rsid w:val="00895139"/>
    <w:rsid w:val="00895167"/>
    <w:rsid w:val="008951F1"/>
    <w:rsid w:val="00895520"/>
    <w:rsid w:val="008956BC"/>
    <w:rsid w:val="00895834"/>
    <w:rsid w:val="00895B11"/>
    <w:rsid w:val="00895B90"/>
    <w:rsid w:val="00895E7A"/>
    <w:rsid w:val="008960BC"/>
    <w:rsid w:val="008961D1"/>
    <w:rsid w:val="00896245"/>
    <w:rsid w:val="0089628E"/>
    <w:rsid w:val="0089638E"/>
    <w:rsid w:val="008967BD"/>
    <w:rsid w:val="00896992"/>
    <w:rsid w:val="008969EA"/>
    <w:rsid w:val="00896CD6"/>
    <w:rsid w:val="00896CE0"/>
    <w:rsid w:val="00896D89"/>
    <w:rsid w:val="00896E6D"/>
    <w:rsid w:val="00896FB0"/>
    <w:rsid w:val="0089728E"/>
    <w:rsid w:val="008973FE"/>
    <w:rsid w:val="00897468"/>
    <w:rsid w:val="00897519"/>
    <w:rsid w:val="008975B5"/>
    <w:rsid w:val="00897611"/>
    <w:rsid w:val="00897637"/>
    <w:rsid w:val="0089780D"/>
    <w:rsid w:val="00897859"/>
    <w:rsid w:val="008979A3"/>
    <w:rsid w:val="00897AC0"/>
    <w:rsid w:val="00897BB4"/>
    <w:rsid w:val="00897D59"/>
    <w:rsid w:val="008A00E2"/>
    <w:rsid w:val="008A00EE"/>
    <w:rsid w:val="008A01B0"/>
    <w:rsid w:val="008A020F"/>
    <w:rsid w:val="008A0294"/>
    <w:rsid w:val="008A0717"/>
    <w:rsid w:val="008A0863"/>
    <w:rsid w:val="008A094D"/>
    <w:rsid w:val="008A0A5F"/>
    <w:rsid w:val="008A0BB4"/>
    <w:rsid w:val="008A0EB1"/>
    <w:rsid w:val="008A0FEE"/>
    <w:rsid w:val="008A1024"/>
    <w:rsid w:val="008A102C"/>
    <w:rsid w:val="008A11AC"/>
    <w:rsid w:val="008A1221"/>
    <w:rsid w:val="008A132E"/>
    <w:rsid w:val="008A1588"/>
    <w:rsid w:val="008A16B8"/>
    <w:rsid w:val="008A16C1"/>
    <w:rsid w:val="008A18F7"/>
    <w:rsid w:val="008A19BE"/>
    <w:rsid w:val="008A1BC6"/>
    <w:rsid w:val="008A1C99"/>
    <w:rsid w:val="008A1D3D"/>
    <w:rsid w:val="008A1D49"/>
    <w:rsid w:val="008A1D70"/>
    <w:rsid w:val="008A1EFB"/>
    <w:rsid w:val="008A2072"/>
    <w:rsid w:val="008A2439"/>
    <w:rsid w:val="008A2808"/>
    <w:rsid w:val="008A2B0F"/>
    <w:rsid w:val="008A2BA8"/>
    <w:rsid w:val="008A2C6C"/>
    <w:rsid w:val="008A2CC1"/>
    <w:rsid w:val="008A2D10"/>
    <w:rsid w:val="008A3127"/>
    <w:rsid w:val="008A3804"/>
    <w:rsid w:val="008A3864"/>
    <w:rsid w:val="008A3EA9"/>
    <w:rsid w:val="008A413D"/>
    <w:rsid w:val="008A41BB"/>
    <w:rsid w:val="008A4215"/>
    <w:rsid w:val="008A4826"/>
    <w:rsid w:val="008A4AD2"/>
    <w:rsid w:val="008A4B45"/>
    <w:rsid w:val="008A4BEF"/>
    <w:rsid w:val="008A4C7D"/>
    <w:rsid w:val="008A4EE6"/>
    <w:rsid w:val="008A500B"/>
    <w:rsid w:val="008A5045"/>
    <w:rsid w:val="008A50D4"/>
    <w:rsid w:val="008A5206"/>
    <w:rsid w:val="008A5219"/>
    <w:rsid w:val="008A568A"/>
    <w:rsid w:val="008A577F"/>
    <w:rsid w:val="008A58B2"/>
    <w:rsid w:val="008A5C04"/>
    <w:rsid w:val="008A5C5C"/>
    <w:rsid w:val="008A5D23"/>
    <w:rsid w:val="008A5D5C"/>
    <w:rsid w:val="008A5D77"/>
    <w:rsid w:val="008A5FD4"/>
    <w:rsid w:val="008A5FF7"/>
    <w:rsid w:val="008A6551"/>
    <w:rsid w:val="008A6598"/>
    <w:rsid w:val="008A65E3"/>
    <w:rsid w:val="008A6742"/>
    <w:rsid w:val="008A6757"/>
    <w:rsid w:val="008A6D36"/>
    <w:rsid w:val="008A6EA9"/>
    <w:rsid w:val="008A6EAE"/>
    <w:rsid w:val="008A7226"/>
    <w:rsid w:val="008A72B0"/>
    <w:rsid w:val="008A7675"/>
    <w:rsid w:val="008A767B"/>
    <w:rsid w:val="008A77A2"/>
    <w:rsid w:val="008A7961"/>
    <w:rsid w:val="008A7B23"/>
    <w:rsid w:val="008A7E44"/>
    <w:rsid w:val="008A7E6C"/>
    <w:rsid w:val="008A7E84"/>
    <w:rsid w:val="008A7FEA"/>
    <w:rsid w:val="008B0511"/>
    <w:rsid w:val="008B088F"/>
    <w:rsid w:val="008B0AB2"/>
    <w:rsid w:val="008B0D14"/>
    <w:rsid w:val="008B0F0B"/>
    <w:rsid w:val="008B0F6C"/>
    <w:rsid w:val="008B0FC0"/>
    <w:rsid w:val="008B1410"/>
    <w:rsid w:val="008B142F"/>
    <w:rsid w:val="008B149E"/>
    <w:rsid w:val="008B1540"/>
    <w:rsid w:val="008B16D0"/>
    <w:rsid w:val="008B1C38"/>
    <w:rsid w:val="008B1D5F"/>
    <w:rsid w:val="008B1D72"/>
    <w:rsid w:val="008B1E95"/>
    <w:rsid w:val="008B213B"/>
    <w:rsid w:val="008B21AE"/>
    <w:rsid w:val="008B223C"/>
    <w:rsid w:val="008B2399"/>
    <w:rsid w:val="008B250C"/>
    <w:rsid w:val="008B26A9"/>
    <w:rsid w:val="008B272F"/>
    <w:rsid w:val="008B2987"/>
    <w:rsid w:val="008B2C8F"/>
    <w:rsid w:val="008B2CE0"/>
    <w:rsid w:val="008B2EAD"/>
    <w:rsid w:val="008B3319"/>
    <w:rsid w:val="008B3333"/>
    <w:rsid w:val="008B345C"/>
    <w:rsid w:val="008B36A3"/>
    <w:rsid w:val="008B375A"/>
    <w:rsid w:val="008B37FB"/>
    <w:rsid w:val="008B387A"/>
    <w:rsid w:val="008B3B90"/>
    <w:rsid w:val="008B3C76"/>
    <w:rsid w:val="008B3F50"/>
    <w:rsid w:val="008B410C"/>
    <w:rsid w:val="008B4321"/>
    <w:rsid w:val="008B432E"/>
    <w:rsid w:val="008B4363"/>
    <w:rsid w:val="008B489D"/>
    <w:rsid w:val="008B4DB9"/>
    <w:rsid w:val="008B50CA"/>
    <w:rsid w:val="008B5134"/>
    <w:rsid w:val="008B5489"/>
    <w:rsid w:val="008B54A5"/>
    <w:rsid w:val="008B55B3"/>
    <w:rsid w:val="008B57B0"/>
    <w:rsid w:val="008B5841"/>
    <w:rsid w:val="008B5B00"/>
    <w:rsid w:val="008B5D11"/>
    <w:rsid w:val="008B5E2B"/>
    <w:rsid w:val="008B5E78"/>
    <w:rsid w:val="008B6120"/>
    <w:rsid w:val="008B6195"/>
    <w:rsid w:val="008B61EF"/>
    <w:rsid w:val="008B61FC"/>
    <w:rsid w:val="008B63A3"/>
    <w:rsid w:val="008B640D"/>
    <w:rsid w:val="008B65A1"/>
    <w:rsid w:val="008B698B"/>
    <w:rsid w:val="008B6A3F"/>
    <w:rsid w:val="008B6AD0"/>
    <w:rsid w:val="008B6E53"/>
    <w:rsid w:val="008B7133"/>
    <w:rsid w:val="008B7359"/>
    <w:rsid w:val="008B7705"/>
    <w:rsid w:val="008B77E8"/>
    <w:rsid w:val="008B7CE7"/>
    <w:rsid w:val="008B7CEE"/>
    <w:rsid w:val="008C00C9"/>
    <w:rsid w:val="008C0216"/>
    <w:rsid w:val="008C0358"/>
    <w:rsid w:val="008C0593"/>
    <w:rsid w:val="008C0925"/>
    <w:rsid w:val="008C0CC3"/>
    <w:rsid w:val="008C0D12"/>
    <w:rsid w:val="008C0FFF"/>
    <w:rsid w:val="008C13A9"/>
    <w:rsid w:val="008C17E1"/>
    <w:rsid w:val="008C184A"/>
    <w:rsid w:val="008C1984"/>
    <w:rsid w:val="008C19DD"/>
    <w:rsid w:val="008C1A23"/>
    <w:rsid w:val="008C1A4C"/>
    <w:rsid w:val="008C1D02"/>
    <w:rsid w:val="008C1F12"/>
    <w:rsid w:val="008C2748"/>
    <w:rsid w:val="008C2C73"/>
    <w:rsid w:val="008C2CAE"/>
    <w:rsid w:val="008C2FE5"/>
    <w:rsid w:val="008C309C"/>
    <w:rsid w:val="008C33FB"/>
    <w:rsid w:val="008C3835"/>
    <w:rsid w:val="008C3A96"/>
    <w:rsid w:val="008C3BBE"/>
    <w:rsid w:val="008C407A"/>
    <w:rsid w:val="008C4450"/>
    <w:rsid w:val="008C4496"/>
    <w:rsid w:val="008C464A"/>
    <w:rsid w:val="008C46A1"/>
    <w:rsid w:val="008C46BC"/>
    <w:rsid w:val="008C491D"/>
    <w:rsid w:val="008C49DE"/>
    <w:rsid w:val="008C4A89"/>
    <w:rsid w:val="008C4C0F"/>
    <w:rsid w:val="008C4D37"/>
    <w:rsid w:val="008C4EE2"/>
    <w:rsid w:val="008C4F7C"/>
    <w:rsid w:val="008C500D"/>
    <w:rsid w:val="008C5336"/>
    <w:rsid w:val="008C5443"/>
    <w:rsid w:val="008C583E"/>
    <w:rsid w:val="008C5A9E"/>
    <w:rsid w:val="008C5E6C"/>
    <w:rsid w:val="008C625F"/>
    <w:rsid w:val="008C6367"/>
    <w:rsid w:val="008C6587"/>
    <w:rsid w:val="008C6848"/>
    <w:rsid w:val="008C6993"/>
    <w:rsid w:val="008C6A19"/>
    <w:rsid w:val="008C6A36"/>
    <w:rsid w:val="008C6B2F"/>
    <w:rsid w:val="008C6DF0"/>
    <w:rsid w:val="008C6E4B"/>
    <w:rsid w:val="008C6EB0"/>
    <w:rsid w:val="008C711C"/>
    <w:rsid w:val="008C7195"/>
    <w:rsid w:val="008C7308"/>
    <w:rsid w:val="008C73AC"/>
    <w:rsid w:val="008C73C8"/>
    <w:rsid w:val="008C7486"/>
    <w:rsid w:val="008C763D"/>
    <w:rsid w:val="008C7795"/>
    <w:rsid w:val="008C77A4"/>
    <w:rsid w:val="008C77D8"/>
    <w:rsid w:val="008C79D4"/>
    <w:rsid w:val="008C7A19"/>
    <w:rsid w:val="008C7A95"/>
    <w:rsid w:val="008C7BD6"/>
    <w:rsid w:val="008C7E73"/>
    <w:rsid w:val="008C7E9D"/>
    <w:rsid w:val="008D007B"/>
    <w:rsid w:val="008D021C"/>
    <w:rsid w:val="008D0328"/>
    <w:rsid w:val="008D0449"/>
    <w:rsid w:val="008D0573"/>
    <w:rsid w:val="008D059D"/>
    <w:rsid w:val="008D0698"/>
    <w:rsid w:val="008D069E"/>
    <w:rsid w:val="008D0881"/>
    <w:rsid w:val="008D0A6E"/>
    <w:rsid w:val="008D0B34"/>
    <w:rsid w:val="008D0B8F"/>
    <w:rsid w:val="008D0CCA"/>
    <w:rsid w:val="008D10F1"/>
    <w:rsid w:val="008D11D8"/>
    <w:rsid w:val="008D14CC"/>
    <w:rsid w:val="008D1609"/>
    <w:rsid w:val="008D161B"/>
    <w:rsid w:val="008D1712"/>
    <w:rsid w:val="008D18AE"/>
    <w:rsid w:val="008D1A66"/>
    <w:rsid w:val="008D1C67"/>
    <w:rsid w:val="008D1D41"/>
    <w:rsid w:val="008D1E8F"/>
    <w:rsid w:val="008D1EB1"/>
    <w:rsid w:val="008D1FF0"/>
    <w:rsid w:val="008D2051"/>
    <w:rsid w:val="008D20F8"/>
    <w:rsid w:val="008D2315"/>
    <w:rsid w:val="008D2455"/>
    <w:rsid w:val="008D253B"/>
    <w:rsid w:val="008D2867"/>
    <w:rsid w:val="008D2D24"/>
    <w:rsid w:val="008D2D6C"/>
    <w:rsid w:val="008D2E02"/>
    <w:rsid w:val="008D2FE9"/>
    <w:rsid w:val="008D304A"/>
    <w:rsid w:val="008D307F"/>
    <w:rsid w:val="008D30C8"/>
    <w:rsid w:val="008D3219"/>
    <w:rsid w:val="008D333E"/>
    <w:rsid w:val="008D347B"/>
    <w:rsid w:val="008D362F"/>
    <w:rsid w:val="008D397F"/>
    <w:rsid w:val="008D3F9C"/>
    <w:rsid w:val="008D421C"/>
    <w:rsid w:val="008D4433"/>
    <w:rsid w:val="008D44D9"/>
    <w:rsid w:val="008D463E"/>
    <w:rsid w:val="008D46A1"/>
    <w:rsid w:val="008D47B6"/>
    <w:rsid w:val="008D480C"/>
    <w:rsid w:val="008D4B20"/>
    <w:rsid w:val="008D4CE5"/>
    <w:rsid w:val="008D4E5E"/>
    <w:rsid w:val="008D4ED1"/>
    <w:rsid w:val="008D510B"/>
    <w:rsid w:val="008D5141"/>
    <w:rsid w:val="008D5177"/>
    <w:rsid w:val="008D5277"/>
    <w:rsid w:val="008D52F7"/>
    <w:rsid w:val="008D5493"/>
    <w:rsid w:val="008D597B"/>
    <w:rsid w:val="008D5BED"/>
    <w:rsid w:val="008D5C3A"/>
    <w:rsid w:val="008D5D00"/>
    <w:rsid w:val="008D5D09"/>
    <w:rsid w:val="008D5E3C"/>
    <w:rsid w:val="008D6039"/>
    <w:rsid w:val="008D6183"/>
    <w:rsid w:val="008D630F"/>
    <w:rsid w:val="008D67B4"/>
    <w:rsid w:val="008D68D1"/>
    <w:rsid w:val="008D69EC"/>
    <w:rsid w:val="008D6A6D"/>
    <w:rsid w:val="008D6D5C"/>
    <w:rsid w:val="008D6E6F"/>
    <w:rsid w:val="008D6F77"/>
    <w:rsid w:val="008D6FEA"/>
    <w:rsid w:val="008D710A"/>
    <w:rsid w:val="008D71D1"/>
    <w:rsid w:val="008D7371"/>
    <w:rsid w:val="008D7674"/>
    <w:rsid w:val="008D76D2"/>
    <w:rsid w:val="008E030A"/>
    <w:rsid w:val="008E0426"/>
    <w:rsid w:val="008E048A"/>
    <w:rsid w:val="008E04A2"/>
    <w:rsid w:val="008E092E"/>
    <w:rsid w:val="008E0C79"/>
    <w:rsid w:val="008E0D62"/>
    <w:rsid w:val="008E0EDB"/>
    <w:rsid w:val="008E0F77"/>
    <w:rsid w:val="008E1221"/>
    <w:rsid w:val="008E1721"/>
    <w:rsid w:val="008E1ACA"/>
    <w:rsid w:val="008E1C82"/>
    <w:rsid w:val="008E1E83"/>
    <w:rsid w:val="008E222E"/>
    <w:rsid w:val="008E26E4"/>
    <w:rsid w:val="008E2829"/>
    <w:rsid w:val="008E28EE"/>
    <w:rsid w:val="008E29D0"/>
    <w:rsid w:val="008E2A3A"/>
    <w:rsid w:val="008E2B7E"/>
    <w:rsid w:val="008E2D1A"/>
    <w:rsid w:val="008E2D40"/>
    <w:rsid w:val="008E2E80"/>
    <w:rsid w:val="008E2E86"/>
    <w:rsid w:val="008E347C"/>
    <w:rsid w:val="008E34A6"/>
    <w:rsid w:val="008E34DA"/>
    <w:rsid w:val="008E35CA"/>
    <w:rsid w:val="008E37CB"/>
    <w:rsid w:val="008E37D5"/>
    <w:rsid w:val="008E3A36"/>
    <w:rsid w:val="008E3EB6"/>
    <w:rsid w:val="008E4009"/>
    <w:rsid w:val="008E4105"/>
    <w:rsid w:val="008E41D1"/>
    <w:rsid w:val="008E421E"/>
    <w:rsid w:val="008E42F5"/>
    <w:rsid w:val="008E4305"/>
    <w:rsid w:val="008E440F"/>
    <w:rsid w:val="008E453B"/>
    <w:rsid w:val="008E456F"/>
    <w:rsid w:val="008E45BD"/>
    <w:rsid w:val="008E473A"/>
    <w:rsid w:val="008E4765"/>
    <w:rsid w:val="008E483E"/>
    <w:rsid w:val="008E496D"/>
    <w:rsid w:val="008E4AA5"/>
    <w:rsid w:val="008E4BEA"/>
    <w:rsid w:val="008E4CFA"/>
    <w:rsid w:val="008E4D5E"/>
    <w:rsid w:val="008E4E2E"/>
    <w:rsid w:val="008E4EAE"/>
    <w:rsid w:val="008E4EBF"/>
    <w:rsid w:val="008E504C"/>
    <w:rsid w:val="008E5369"/>
    <w:rsid w:val="008E5709"/>
    <w:rsid w:val="008E59D7"/>
    <w:rsid w:val="008E5AE8"/>
    <w:rsid w:val="008E5BE9"/>
    <w:rsid w:val="008E5D31"/>
    <w:rsid w:val="008E5D80"/>
    <w:rsid w:val="008E5E0F"/>
    <w:rsid w:val="008E60C0"/>
    <w:rsid w:val="008E650F"/>
    <w:rsid w:val="008E658F"/>
    <w:rsid w:val="008E6641"/>
    <w:rsid w:val="008E6AB3"/>
    <w:rsid w:val="008E6B44"/>
    <w:rsid w:val="008E6B77"/>
    <w:rsid w:val="008E6C80"/>
    <w:rsid w:val="008E6F34"/>
    <w:rsid w:val="008E7042"/>
    <w:rsid w:val="008E7065"/>
    <w:rsid w:val="008E7092"/>
    <w:rsid w:val="008E7098"/>
    <w:rsid w:val="008E70F3"/>
    <w:rsid w:val="008E717E"/>
    <w:rsid w:val="008E728A"/>
    <w:rsid w:val="008E72C1"/>
    <w:rsid w:val="008E760E"/>
    <w:rsid w:val="008E76EA"/>
    <w:rsid w:val="008E78C7"/>
    <w:rsid w:val="008E7A27"/>
    <w:rsid w:val="008E7C26"/>
    <w:rsid w:val="008E7E26"/>
    <w:rsid w:val="008E7E94"/>
    <w:rsid w:val="008F0010"/>
    <w:rsid w:val="008F03E6"/>
    <w:rsid w:val="008F0600"/>
    <w:rsid w:val="008F0A03"/>
    <w:rsid w:val="008F0BE7"/>
    <w:rsid w:val="008F0CB7"/>
    <w:rsid w:val="008F12B5"/>
    <w:rsid w:val="008F164E"/>
    <w:rsid w:val="008F16F0"/>
    <w:rsid w:val="008F177D"/>
    <w:rsid w:val="008F1B3C"/>
    <w:rsid w:val="008F1E10"/>
    <w:rsid w:val="008F22C0"/>
    <w:rsid w:val="008F2384"/>
    <w:rsid w:val="008F244D"/>
    <w:rsid w:val="008F24DF"/>
    <w:rsid w:val="008F25C7"/>
    <w:rsid w:val="008F25E8"/>
    <w:rsid w:val="008F27F4"/>
    <w:rsid w:val="008F2B8E"/>
    <w:rsid w:val="008F2F1D"/>
    <w:rsid w:val="008F2FFF"/>
    <w:rsid w:val="008F316F"/>
    <w:rsid w:val="008F3197"/>
    <w:rsid w:val="008F32BF"/>
    <w:rsid w:val="008F338D"/>
    <w:rsid w:val="008F341A"/>
    <w:rsid w:val="008F3573"/>
    <w:rsid w:val="008F36C5"/>
    <w:rsid w:val="008F38D8"/>
    <w:rsid w:val="008F3940"/>
    <w:rsid w:val="008F3B33"/>
    <w:rsid w:val="008F3C81"/>
    <w:rsid w:val="008F3E26"/>
    <w:rsid w:val="008F3FA3"/>
    <w:rsid w:val="008F4259"/>
    <w:rsid w:val="008F4289"/>
    <w:rsid w:val="008F44A0"/>
    <w:rsid w:val="008F469A"/>
    <w:rsid w:val="008F484E"/>
    <w:rsid w:val="008F4A47"/>
    <w:rsid w:val="008F4BB6"/>
    <w:rsid w:val="008F4D3F"/>
    <w:rsid w:val="008F4D86"/>
    <w:rsid w:val="008F4ECF"/>
    <w:rsid w:val="008F5169"/>
    <w:rsid w:val="008F522F"/>
    <w:rsid w:val="008F529F"/>
    <w:rsid w:val="008F5437"/>
    <w:rsid w:val="008F557B"/>
    <w:rsid w:val="008F5773"/>
    <w:rsid w:val="008F59C0"/>
    <w:rsid w:val="008F5DF0"/>
    <w:rsid w:val="008F611A"/>
    <w:rsid w:val="008F63AA"/>
    <w:rsid w:val="008F63F1"/>
    <w:rsid w:val="008F6521"/>
    <w:rsid w:val="008F6617"/>
    <w:rsid w:val="008F6633"/>
    <w:rsid w:val="008F6755"/>
    <w:rsid w:val="008F6995"/>
    <w:rsid w:val="008F6C6F"/>
    <w:rsid w:val="008F6D50"/>
    <w:rsid w:val="008F6FF4"/>
    <w:rsid w:val="008F7013"/>
    <w:rsid w:val="008F7208"/>
    <w:rsid w:val="008F7521"/>
    <w:rsid w:val="008F759E"/>
    <w:rsid w:val="008F75F1"/>
    <w:rsid w:val="008F764A"/>
    <w:rsid w:val="008F79CB"/>
    <w:rsid w:val="008F7A23"/>
    <w:rsid w:val="008F7DBB"/>
    <w:rsid w:val="00900162"/>
    <w:rsid w:val="00900177"/>
    <w:rsid w:val="0090045B"/>
    <w:rsid w:val="0090050F"/>
    <w:rsid w:val="00900563"/>
    <w:rsid w:val="009005B7"/>
    <w:rsid w:val="00900A6F"/>
    <w:rsid w:val="00901091"/>
    <w:rsid w:val="00901239"/>
    <w:rsid w:val="00901625"/>
    <w:rsid w:val="009017D1"/>
    <w:rsid w:val="00901C0B"/>
    <w:rsid w:val="00901C60"/>
    <w:rsid w:val="00901F99"/>
    <w:rsid w:val="009022CE"/>
    <w:rsid w:val="00902532"/>
    <w:rsid w:val="00902555"/>
    <w:rsid w:val="00902653"/>
    <w:rsid w:val="0090298C"/>
    <w:rsid w:val="00902D47"/>
    <w:rsid w:val="0090312C"/>
    <w:rsid w:val="00903255"/>
    <w:rsid w:val="00903487"/>
    <w:rsid w:val="0090393A"/>
    <w:rsid w:val="00903C94"/>
    <w:rsid w:val="00904417"/>
    <w:rsid w:val="00904874"/>
    <w:rsid w:val="00904980"/>
    <w:rsid w:val="00904B1A"/>
    <w:rsid w:val="00904BB8"/>
    <w:rsid w:val="00904E42"/>
    <w:rsid w:val="00904E63"/>
    <w:rsid w:val="009052A5"/>
    <w:rsid w:val="009052BE"/>
    <w:rsid w:val="009052C0"/>
    <w:rsid w:val="00905574"/>
    <w:rsid w:val="00905737"/>
    <w:rsid w:val="00905772"/>
    <w:rsid w:val="0090578D"/>
    <w:rsid w:val="00905884"/>
    <w:rsid w:val="009059D4"/>
    <w:rsid w:val="00905A0D"/>
    <w:rsid w:val="00905AA7"/>
    <w:rsid w:val="00905EFB"/>
    <w:rsid w:val="00906076"/>
    <w:rsid w:val="009060D0"/>
    <w:rsid w:val="00906177"/>
    <w:rsid w:val="0090651E"/>
    <w:rsid w:val="009067B9"/>
    <w:rsid w:val="0090699C"/>
    <w:rsid w:val="00906AE8"/>
    <w:rsid w:val="00906D32"/>
    <w:rsid w:val="00906F1A"/>
    <w:rsid w:val="009071A3"/>
    <w:rsid w:val="0090721A"/>
    <w:rsid w:val="009072F5"/>
    <w:rsid w:val="00907546"/>
    <w:rsid w:val="0090764D"/>
    <w:rsid w:val="0090767F"/>
    <w:rsid w:val="0090771F"/>
    <w:rsid w:val="009077A5"/>
    <w:rsid w:val="009077ED"/>
    <w:rsid w:val="009078CE"/>
    <w:rsid w:val="00907B7D"/>
    <w:rsid w:val="00907CB2"/>
    <w:rsid w:val="00907CBE"/>
    <w:rsid w:val="00907EA6"/>
    <w:rsid w:val="00907F49"/>
    <w:rsid w:val="009103DB"/>
    <w:rsid w:val="009106EB"/>
    <w:rsid w:val="0091073C"/>
    <w:rsid w:val="00910893"/>
    <w:rsid w:val="009108A4"/>
    <w:rsid w:val="009108B6"/>
    <w:rsid w:val="0091093E"/>
    <w:rsid w:val="00910ACC"/>
    <w:rsid w:val="00910B90"/>
    <w:rsid w:val="00910C88"/>
    <w:rsid w:val="00910CD2"/>
    <w:rsid w:val="00910E76"/>
    <w:rsid w:val="009115A3"/>
    <w:rsid w:val="00911624"/>
    <w:rsid w:val="00911A28"/>
    <w:rsid w:val="00911A7E"/>
    <w:rsid w:val="00911D42"/>
    <w:rsid w:val="00911FB6"/>
    <w:rsid w:val="009120C1"/>
    <w:rsid w:val="009121E3"/>
    <w:rsid w:val="00912298"/>
    <w:rsid w:val="009123B3"/>
    <w:rsid w:val="009126E0"/>
    <w:rsid w:val="009127A3"/>
    <w:rsid w:val="00912C7E"/>
    <w:rsid w:val="00912DA4"/>
    <w:rsid w:val="00913066"/>
    <w:rsid w:val="0091309E"/>
    <w:rsid w:val="009130DC"/>
    <w:rsid w:val="009130E2"/>
    <w:rsid w:val="00913139"/>
    <w:rsid w:val="0091316F"/>
    <w:rsid w:val="009132C9"/>
    <w:rsid w:val="00913398"/>
    <w:rsid w:val="009135F2"/>
    <w:rsid w:val="009138BB"/>
    <w:rsid w:val="009138C5"/>
    <w:rsid w:val="009139EE"/>
    <w:rsid w:val="00913BFA"/>
    <w:rsid w:val="0091407C"/>
    <w:rsid w:val="00914219"/>
    <w:rsid w:val="009142F9"/>
    <w:rsid w:val="009142FF"/>
    <w:rsid w:val="009145AC"/>
    <w:rsid w:val="009145B8"/>
    <w:rsid w:val="009146E5"/>
    <w:rsid w:val="00914B44"/>
    <w:rsid w:val="00914E95"/>
    <w:rsid w:val="00914F63"/>
    <w:rsid w:val="00915115"/>
    <w:rsid w:val="00915177"/>
    <w:rsid w:val="0091527C"/>
    <w:rsid w:val="009152C7"/>
    <w:rsid w:val="0091544C"/>
    <w:rsid w:val="009154F0"/>
    <w:rsid w:val="00915792"/>
    <w:rsid w:val="00915886"/>
    <w:rsid w:val="00915979"/>
    <w:rsid w:val="00915A2A"/>
    <w:rsid w:val="00915A36"/>
    <w:rsid w:val="00915AEE"/>
    <w:rsid w:val="00915C96"/>
    <w:rsid w:val="00915F01"/>
    <w:rsid w:val="00915F3D"/>
    <w:rsid w:val="0091638A"/>
    <w:rsid w:val="009164B5"/>
    <w:rsid w:val="00916519"/>
    <w:rsid w:val="00916581"/>
    <w:rsid w:val="0091690B"/>
    <w:rsid w:val="00916AE3"/>
    <w:rsid w:val="00916BFA"/>
    <w:rsid w:val="00916C48"/>
    <w:rsid w:val="009170A9"/>
    <w:rsid w:val="00917223"/>
    <w:rsid w:val="0091728B"/>
    <w:rsid w:val="009172D9"/>
    <w:rsid w:val="0091736B"/>
    <w:rsid w:val="00917431"/>
    <w:rsid w:val="009177F9"/>
    <w:rsid w:val="00917BA2"/>
    <w:rsid w:val="00917C7C"/>
    <w:rsid w:val="00917CCE"/>
    <w:rsid w:val="00917DAA"/>
    <w:rsid w:val="00917E61"/>
    <w:rsid w:val="00917F12"/>
    <w:rsid w:val="00920156"/>
    <w:rsid w:val="00920451"/>
    <w:rsid w:val="0092054C"/>
    <w:rsid w:val="0092069A"/>
    <w:rsid w:val="00920A18"/>
    <w:rsid w:val="00920CA3"/>
    <w:rsid w:val="00920CF8"/>
    <w:rsid w:val="00920E43"/>
    <w:rsid w:val="00920EB8"/>
    <w:rsid w:val="009211CA"/>
    <w:rsid w:val="009213B6"/>
    <w:rsid w:val="0092146B"/>
    <w:rsid w:val="00921599"/>
    <w:rsid w:val="009215EF"/>
    <w:rsid w:val="009219A3"/>
    <w:rsid w:val="00922130"/>
    <w:rsid w:val="00922161"/>
    <w:rsid w:val="00922BD3"/>
    <w:rsid w:val="00922F14"/>
    <w:rsid w:val="00922FC8"/>
    <w:rsid w:val="00923007"/>
    <w:rsid w:val="009231CB"/>
    <w:rsid w:val="009233AC"/>
    <w:rsid w:val="00923412"/>
    <w:rsid w:val="0092350B"/>
    <w:rsid w:val="0092352C"/>
    <w:rsid w:val="00923715"/>
    <w:rsid w:val="00923842"/>
    <w:rsid w:val="009239F4"/>
    <w:rsid w:val="00923A3F"/>
    <w:rsid w:val="00923B13"/>
    <w:rsid w:val="00923B9F"/>
    <w:rsid w:val="00923F55"/>
    <w:rsid w:val="00924106"/>
    <w:rsid w:val="00924372"/>
    <w:rsid w:val="0092439B"/>
    <w:rsid w:val="009246CF"/>
    <w:rsid w:val="009249BA"/>
    <w:rsid w:val="00924A37"/>
    <w:rsid w:val="00924B19"/>
    <w:rsid w:val="00924B65"/>
    <w:rsid w:val="00924BB6"/>
    <w:rsid w:val="00924C1F"/>
    <w:rsid w:val="00924C88"/>
    <w:rsid w:val="00924E6A"/>
    <w:rsid w:val="00924E92"/>
    <w:rsid w:val="00925301"/>
    <w:rsid w:val="00925435"/>
    <w:rsid w:val="00925559"/>
    <w:rsid w:val="009255EB"/>
    <w:rsid w:val="0092595B"/>
    <w:rsid w:val="00925A34"/>
    <w:rsid w:val="00925C3D"/>
    <w:rsid w:val="00925D00"/>
    <w:rsid w:val="00925E41"/>
    <w:rsid w:val="00925FDE"/>
    <w:rsid w:val="009261EE"/>
    <w:rsid w:val="009262BA"/>
    <w:rsid w:val="009263E8"/>
    <w:rsid w:val="00926402"/>
    <w:rsid w:val="00926583"/>
    <w:rsid w:val="009265F1"/>
    <w:rsid w:val="00926636"/>
    <w:rsid w:val="00926721"/>
    <w:rsid w:val="009268F9"/>
    <w:rsid w:val="009269E4"/>
    <w:rsid w:val="00926C39"/>
    <w:rsid w:val="00926F5C"/>
    <w:rsid w:val="00927357"/>
    <w:rsid w:val="0092737D"/>
    <w:rsid w:val="0092744C"/>
    <w:rsid w:val="009275DF"/>
    <w:rsid w:val="009276AD"/>
    <w:rsid w:val="00927757"/>
    <w:rsid w:val="0092791B"/>
    <w:rsid w:val="00927944"/>
    <w:rsid w:val="00927A76"/>
    <w:rsid w:val="00927AA5"/>
    <w:rsid w:val="00927AA7"/>
    <w:rsid w:val="00927C52"/>
    <w:rsid w:val="00927C95"/>
    <w:rsid w:val="00927D68"/>
    <w:rsid w:val="00927E26"/>
    <w:rsid w:val="00927ECF"/>
    <w:rsid w:val="00930063"/>
    <w:rsid w:val="0093009B"/>
    <w:rsid w:val="0093011F"/>
    <w:rsid w:val="0093012A"/>
    <w:rsid w:val="00930199"/>
    <w:rsid w:val="0093084D"/>
    <w:rsid w:val="00930AE0"/>
    <w:rsid w:val="00930C95"/>
    <w:rsid w:val="009310FC"/>
    <w:rsid w:val="00931275"/>
    <w:rsid w:val="00931510"/>
    <w:rsid w:val="0093156F"/>
    <w:rsid w:val="009318AE"/>
    <w:rsid w:val="0093196C"/>
    <w:rsid w:val="00931992"/>
    <w:rsid w:val="009319F1"/>
    <w:rsid w:val="00931B46"/>
    <w:rsid w:val="00931BC4"/>
    <w:rsid w:val="00931EA4"/>
    <w:rsid w:val="009323E1"/>
    <w:rsid w:val="009327F6"/>
    <w:rsid w:val="00932960"/>
    <w:rsid w:val="00932C7B"/>
    <w:rsid w:val="00932DA2"/>
    <w:rsid w:val="00932DF9"/>
    <w:rsid w:val="00932E3B"/>
    <w:rsid w:val="00932E8D"/>
    <w:rsid w:val="00932E9B"/>
    <w:rsid w:val="00932EC3"/>
    <w:rsid w:val="00932F7E"/>
    <w:rsid w:val="00932FEB"/>
    <w:rsid w:val="00933247"/>
    <w:rsid w:val="009332D7"/>
    <w:rsid w:val="009336B4"/>
    <w:rsid w:val="00933A4D"/>
    <w:rsid w:val="00933B74"/>
    <w:rsid w:val="00933C2D"/>
    <w:rsid w:val="00933DBE"/>
    <w:rsid w:val="00933F42"/>
    <w:rsid w:val="0093431E"/>
    <w:rsid w:val="009343BB"/>
    <w:rsid w:val="009344E4"/>
    <w:rsid w:val="0093472B"/>
    <w:rsid w:val="0093473E"/>
    <w:rsid w:val="009347DF"/>
    <w:rsid w:val="0093493C"/>
    <w:rsid w:val="00934972"/>
    <w:rsid w:val="00934E72"/>
    <w:rsid w:val="0093502C"/>
    <w:rsid w:val="00935554"/>
    <w:rsid w:val="009355B7"/>
    <w:rsid w:val="009356B9"/>
    <w:rsid w:val="00935A81"/>
    <w:rsid w:val="00935D32"/>
    <w:rsid w:val="00935DA5"/>
    <w:rsid w:val="009360D6"/>
    <w:rsid w:val="009361CF"/>
    <w:rsid w:val="0093624D"/>
    <w:rsid w:val="009362F6"/>
    <w:rsid w:val="009363AB"/>
    <w:rsid w:val="009363D4"/>
    <w:rsid w:val="0093677D"/>
    <w:rsid w:val="009369F5"/>
    <w:rsid w:val="00936BEE"/>
    <w:rsid w:val="00936C7D"/>
    <w:rsid w:val="009370A6"/>
    <w:rsid w:val="0093717B"/>
    <w:rsid w:val="009371C9"/>
    <w:rsid w:val="009375EC"/>
    <w:rsid w:val="00937837"/>
    <w:rsid w:val="00937E0D"/>
    <w:rsid w:val="00937E58"/>
    <w:rsid w:val="00937EBF"/>
    <w:rsid w:val="00937EFB"/>
    <w:rsid w:val="00940018"/>
    <w:rsid w:val="00940119"/>
    <w:rsid w:val="00940360"/>
    <w:rsid w:val="009404BE"/>
    <w:rsid w:val="00940625"/>
    <w:rsid w:val="0094062D"/>
    <w:rsid w:val="00940AAE"/>
    <w:rsid w:val="00940C27"/>
    <w:rsid w:val="00940D2A"/>
    <w:rsid w:val="00940DAE"/>
    <w:rsid w:val="00940DFF"/>
    <w:rsid w:val="00940E1A"/>
    <w:rsid w:val="009417AF"/>
    <w:rsid w:val="009417E1"/>
    <w:rsid w:val="0094181F"/>
    <w:rsid w:val="00941826"/>
    <w:rsid w:val="0094186C"/>
    <w:rsid w:val="0094191B"/>
    <w:rsid w:val="00941940"/>
    <w:rsid w:val="00941A28"/>
    <w:rsid w:val="00941B6B"/>
    <w:rsid w:val="00941D88"/>
    <w:rsid w:val="00941E6C"/>
    <w:rsid w:val="00941E75"/>
    <w:rsid w:val="00941F06"/>
    <w:rsid w:val="00941F3D"/>
    <w:rsid w:val="00942476"/>
    <w:rsid w:val="009427F5"/>
    <w:rsid w:val="0094287F"/>
    <w:rsid w:val="009428D8"/>
    <w:rsid w:val="009428F1"/>
    <w:rsid w:val="00942989"/>
    <w:rsid w:val="00942A3F"/>
    <w:rsid w:val="00942B0F"/>
    <w:rsid w:val="00942C4A"/>
    <w:rsid w:val="00942DE9"/>
    <w:rsid w:val="00942F06"/>
    <w:rsid w:val="00943063"/>
    <w:rsid w:val="009431A3"/>
    <w:rsid w:val="0094326C"/>
    <w:rsid w:val="009432CC"/>
    <w:rsid w:val="009436F3"/>
    <w:rsid w:val="009439A0"/>
    <w:rsid w:val="009439A7"/>
    <w:rsid w:val="00943CC3"/>
    <w:rsid w:val="00943EBB"/>
    <w:rsid w:val="00943F85"/>
    <w:rsid w:val="00944129"/>
    <w:rsid w:val="00944272"/>
    <w:rsid w:val="00944424"/>
    <w:rsid w:val="009444B4"/>
    <w:rsid w:val="0094462F"/>
    <w:rsid w:val="009447AA"/>
    <w:rsid w:val="00944AAA"/>
    <w:rsid w:val="00944AB0"/>
    <w:rsid w:val="00944BA6"/>
    <w:rsid w:val="00944D1E"/>
    <w:rsid w:val="00944EC6"/>
    <w:rsid w:val="00945218"/>
    <w:rsid w:val="0094522D"/>
    <w:rsid w:val="00945324"/>
    <w:rsid w:val="0094541E"/>
    <w:rsid w:val="00945520"/>
    <w:rsid w:val="00945582"/>
    <w:rsid w:val="009455A0"/>
    <w:rsid w:val="00945610"/>
    <w:rsid w:val="0094566D"/>
    <w:rsid w:val="009456D5"/>
    <w:rsid w:val="009457D8"/>
    <w:rsid w:val="00945872"/>
    <w:rsid w:val="00945977"/>
    <w:rsid w:val="00945A21"/>
    <w:rsid w:val="00945B92"/>
    <w:rsid w:val="00945BEE"/>
    <w:rsid w:val="00945CE9"/>
    <w:rsid w:val="0094605D"/>
    <w:rsid w:val="00946266"/>
    <w:rsid w:val="0094646D"/>
    <w:rsid w:val="00946C2F"/>
    <w:rsid w:val="00946EE4"/>
    <w:rsid w:val="00947258"/>
    <w:rsid w:val="0094738A"/>
    <w:rsid w:val="009475A1"/>
    <w:rsid w:val="00947950"/>
    <w:rsid w:val="00947A67"/>
    <w:rsid w:val="00947A7B"/>
    <w:rsid w:val="00947B8B"/>
    <w:rsid w:val="00947E58"/>
    <w:rsid w:val="00950086"/>
    <w:rsid w:val="009500ED"/>
    <w:rsid w:val="009501B7"/>
    <w:rsid w:val="009501CD"/>
    <w:rsid w:val="00950426"/>
    <w:rsid w:val="009506A5"/>
    <w:rsid w:val="0095072E"/>
    <w:rsid w:val="00950859"/>
    <w:rsid w:val="00950980"/>
    <w:rsid w:val="0095099C"/>
    <w:rsid w:val="00950DB5"/>
    <w:rsid w:val="00950DFE"/>
    <w:rsid w:val="00950E4F"/>
    <w:rsid w:val="00950FB5"/>
    <w:rsid w:val="0095132D"/>
    <w:rsid w:val="009513D7"/>
    <w:rsid w:val="00951469"/>
    <w:rsid w:val="00951514"/>
    <w:rsid w:val="0095161E"/>
    <w:rsid w:val="009518A7"/>
    <w:rsid w:val="009519CD"/>
    <w:rsid w:val="009519D1"/>
    <w:rsid w:val="00951C04"/>
    <w:rsid w:val="009521E7"/>
    <w:rsid w:val="00952243"/>
    <w:rsid w:val="009522A5"/>
    <w:rsid w:val="00952658"/>
    <w:rsid w:val="00952676"/>
    <w:rsid w:val="00952A63"/>
    <w:rsid w:val="00952C6E"/>
    <w:rsid w:val="00952C70"/>
    <w:rsid w:val="00952D36"/>
    <w:rsid w:val="00952E75"/>
    <w:rsid w:val="00952F20"/>
    <w:rsid w:val="00952F48"/>
    <w:rsid w:val="009531D7"/>
    <w:rsid w:val="00953395"/>
    <w:rsid w:val="00953574"/>
    <w:rsid w:val="0095357E"/>
    <w:rsid w:val="00953AA3"/>
    <w:rsid w:val="00953D05"/>
    <w:rsid w:val="00953D33"/>
    <w:rsid w:val="00953FE6"/>
    <w:rsid w:val="00954043"/>
    <w:rsid w:val="0095406F"/>
    <w:rsid w:val="00954089"/>
    <w:rsid w:val="00954151"/>
    <w:rsid w:val="00954404"/>
    <w:rsid w:val="00954433"/>
    <w:rsid w:val="0095459B"/>
    <w:rsid w:val="009545B8"/>
    <w:rsid w:val="009545CF"/>
    <w:rsid w:val="0095481A"/>
    <w:rsid w:val="0095485A"/>
    <w:rsid w:val="00954957"/>
    <w:rsid w:val="00954D70"/>
    <w:rsid w:val="00954DA4"/>
    <w:rsid w:val="00954FC4"/>
    <w:rsid w:val="009550E3"/>
    <w:rsid w:val="00955154"/>
    <w:rsid w:val="00955483"/>
    <w:rsid w:val="0095551C"/>
    <w:rsid w:val="009555B3"/>
    <w:rsid w:val="00955728"/>
    <w:rsid w:val="00955CF1"/>
    <w:rsid w:val="009561DC"/>
    <w:rsid w:val="0095629E"/>
    <w:rsid w:val="0095682C"/>
    <w:rsid w:val="00956CB9"/>
    <w:rsid w:val="00956D7D"/>
    <w:rsid w:val="00956F58"/>
    <w:rsid w:val="0095701B"/>
    <w:rsid w:val="00957096"/>
    <w:rsid w:val="0095726E"/>
    <w:rsid w:val="009573DC"/>
    <w:rsid w:val="0095748C"/>
    <w:rsid w:val="00957EFE"/>
    <w:rsid w:val="00957F01"/>
    <w:rsid w:val="009607A0"/>
    <w:rsid w:val="00960820"/>
    <w:rsid w:val="00960C03"/>
    <w:rsid w:val="00960D65"/>
    <w:rsid w:val="00960E28"/>
    <w:rsid w:val="00960F0D"/>
    <w:rsid w:val="00961037"/>
    <w:rsid w:val="009615E8"/>
    <w:rsid w:val="009616AC"/>
    <w:rsid w:val="00961727"/>
    <w:rsid w:val="0096176F"/>
    <w:rsid w:val="009617B4"/>
    <w:rsid w:val="0096185C"/>
    <w:rsid w:val="00961BBA"/>
    <w:rsid w:val="00961C53"/>
    <w:rsid w:val="00961D19"/>
    <w:rsid w:val="00961F8E"/>
    <w:rsid w:val="0096207D"/>
    <w:rsid w:val="009620F8"/>
    <w:rsid w:val="009624C9"/>
    <w:rsid w:val="009626D9"/>
    <w:rsid w:val="009628F1"/>
    <w:rsid w:val="00962A83"/>
    <w:rsid w:val="00962BD9"/>
    <w:rsid w:val="00962CF8"/>
    <w:rsid w:val="00962E43"/>
    <w:rsid w:val="00962F3F"/>
    <w:rsid w:val="009630E6"/>
    <w:rsid w:val="009634C2"/>
    <w:rsid w:val="009635BE"/>
    <w:rsid w:val="009636DB"/>
    <w:rsid w:val="00963772"/>
    <w:rsid w:val="009637CD"/>
    <w:rsid w:val="009637F3"/>
    <w:rsid w:val="009639B3"/>
    <w:rsid w:val="009639C4"/>
    <w:rsid w:val="00963DF8"/>
    <w:rsid w:val="00963FE3"/>
    <w:rsid w:val="00964038"/>
    <w:rsid w:val="0096429E"/>
    <w:rsid w:val="009642D1"/>
    <w:rsid w:val="00964443"/>
    <w:rsid w:val="00964538"/>
    <w:rsid w:val="00964558"/>
    <w:rsid w:val="00964749"/>
    <w:rsid w:val="00964967"/>
    <w:rsid w:val="00964B5D"/>
    <w:rsid w:val="00964C75"/>
    <w:rsid w:val="00964CCA"/>
    <w:rsid w:val="00965236"/>
    <w:rsid w:val="00965241"/>
    <w:rsid w:val="00965359"/>
    <w:rsid w:val="009653BA"/>
    <w:rsid w:val="0096545F"/>
    <w:rsid w:val="009658CE"/>
    <w:rsid w:val="00965ACB"/>
    <w:rsid w:val="00965FC7"/>
    <w:rsid w:val="00966A0D"/>
    <w:rsid w:val="00966BF4"/>
    <w:rsid w:val="00966D00"/>
    <w:rsid w:val="00966D92"/>
    <w:rsid w:val="00966F27"/>
    <w:rsid w:val="00966F75"/>
    <w:rsid w:val="00967108"/>
    <w:rsid w:val="009674CB"/>
    <w:rsid w:val="009677C2"/>
    <w:rsid w:val="009678CF"/>
    <w:rsid w:val="00967D17"/>
    <w:rsid w:val="00970513"/>
    <w:rsid w:val="00970B23"/>
    <w:rsid w:val="00970B28"/>
    <w:rsid w:val="00970DB0"/>
    <w:rsid w:val="00970ED4"/>
    <w:rsid w:val="00970FB5"/>
    <w:rsid w:val="0097110E"/>
    <w:rsid w:val="00971701"/>
    <w:rsid w:val="009717D3"/>
    <w:rsid w:val="00971954"/>
    <w:rsid w:val="00971D7C"/>
    <w:rsid w:val="00971DE5"/>
    <w:rsid w:val="00971FDA"/>
    <w:rsid w:val="00972158"/>
    <w:rsid w:val="00972248"/>
    <w:rsid w:val="00972597"/>
    <w:rsid w:val="00972717"/>
    <w:rsid w:val="0097289F"/>
    <w:rsid w:val="0097295B"/>
    <w:rsid w:val="00972A6C"/>
    <w:rsid w:val="00972B4B"/>
    <w:rsid w:val="00973209"/>
    <w:rsid w:val="009733DE"/>
    <w:rsid w:val="00973453"/>
    <w:rsid w:val="009734EB"/>
    <w:rsid w:val="00973B73"/>
    <w:rsid w:val="00973D3F"/>
    <w:rsid w:val="00973DE0"/>
    <w:rsid w:val="00973E6A"/>
    <w:rsid w:val="00974A7F"/>
    <w:rsid w:val="00974B1C"/>
    <w:rsid w:val="00974E0A"/>
    <w:rsid w:val="00974F78"/>
    <w:rsid w:val="00974FD2"/>
    <w:rsid w:val="0097509F"/>
    <w:rsid w:val="009751B9"/>
    <w:rsid w:val="009754D1"/>
    <w:rsid w:val="00975537"/>
    <w:rsid w:val="0097584B"/>
    <w:rsid w:val="00975A36"/>
    <w:rsid w:val="00975A50"/>
    <w:rsid w:val="00975B88"/>
    <w:rsid w:val="00975C1B"/>
    <w:rsid w:val="00976002"/>
    <w:rsid w:val="00976465"/>
    <w:rsid w:val="009765AA"/>
    <w:rsid w:val="009765DB"/>
    <w:rsid w:val="009766F2"/>
    <w:rsid w:val="0097677C"/>
    <w:rsid w:val="00976801"/>
    <w:rsid w:val="0097687A"/>
    <w:rsid w:val="00976915"/>
    <w:rsid w:val="00976F85"/>
    <w:rsid w:val="00976FAA"/>
    <w:rsid w:val="009776E6"/>
    <w:rsid w:val="009777F0"/>
    <w:rsid w:val="00977B1D"/>
    <w:rsid w:val="00977B2A"/>
    <w:rsid w:val="00977B70"/>
    <w:rsid w:val="00977CDA"/>
    <w:rsid w:val="00977F2C"/>
    <w:rsid w:val="009801B9"/>
    <w:rsid w:val="0098044C"/>
    <w:rsid w:val="009804BB"/>
    <w:rsid w:val="0098051E"/>
    <w:rsid w:val="00980642"/>
    <w:rsid w:val="0098088A"/>
    <w:rsid w:val="00980D3D"/>
    <w:rsid w:val="00980EE9"/>
    <w:rsid w:val="009812E6"/>
    <w:rsid w:val="009814C6"/>
    <w:rsid w:val="00981528"/>
    <w:rsid w:val="00981687"/>
    <w:rsid w:val="009817AC"/>
    <w:rsid w:val="009817DC"/>
    <w:rsid w:val="00981915"/>
    <w:rsid w:val="009819A0"/>
    <w:rsid w:val="00981D05"/>
    <w:rsid w:val="00981FD9"/>
    <w:rsid w:val="00981FF8"/>
    <w:rsid w:val="0098228A"/>
    <w:rsid w:val="009826BE"/>
    <w:rsid w:val="009827AD"/>
    <w:rsid w:val="009827EB"/>
    <w:rsid w:val="00982AB0"/>
    <w:rsid w:val="00982B3E"/>
    <w:rsid w:val="009835AA"/>
    <w:rsid w:val="009839CD"/>
    <w:rsid w:val="00983BE5"/>
    <w:rsid w:val="00983D59"/>
    <w:rsid w:val="00983E93"/>
    <w:rsid w:val="009843BC"/>
    <w:rsid w:val="00984CFD"/>
    <w:rsid w:val="00984D4C"/>
    <w:rsid w:val="00985025"/>
    <w:rsid w:val="009851A1"/>
    <w:rsid w:val="0098527B"/>
    <w:rsid w:val="009854E2"/>
    <w:rsid w:val="0098554B"/>
    <w:rsid w:val="00985914"/>
    <w:rsid w:val="0098594C"/>
    <w:rsid w:val="00985992"/>
    <w:rsid w:val="009859C1"/>
    <w:rsid w:val="00985B74"/>
    <w:rsid w:val="00985B89"/>
    <w:rsid w:val="00986231"/>
    <w:rsid w:val="00986517"/>
    <w:rsid w:val="0098662F"/>
    <w:rsid w:val="009866F5"/>
    <w:rsid w:val="00986795"/>
    <w:rsid w:val="00986AD2"/>
    <w:rsid w:val="00986B34"/>
    <w:rsid w:val="00986B6F"/>
    <w:rsid w:val="00986BF0"/>
    <w:rsid w:val="00986D2F"/>
    <w:rsid w:val="00986DF0"/>
    <w:rsid w:val="0098716C"/>
    <w:rsid w:val="0098760E"/>
    <w:rsid w:val="00987B64"/>
    <w:rsid w:val="00987C1E"/>
    <w:rsid w:val="00987CDE"/>
    <w:rsid w:val="00987EC6"/>
    <w:rsid w:val="00987F26"/>
    <w:rsid w:val="00987FD0"/>
    <w:rsid w:val="009904C7"/>
    <w:rsid w:val="00990514"/>
    <w:rsid w:val="00990636"/>
    <w:rsid w:val="0099076E"/>
    <w:rsid w:val="00990813"/>
    <w:rsid w:val="00990873"/>
    <w:rsid w:val="0099098B"/>
    <w:rsid w:val="00990F92"/>
    <w:rsid w:val="00990FAC"/>
    <w:rsid w:val="0099159D"/>
    <w:rsid w:val="009915EE"/>
    <w:rsid w:val="0099174C"/>
    <w:rsid w:val="00991925"/>
    <w:rsid w:val="00991D71"/>
    <w:rsid w:val="00991E60"/>
    <w:rsid w:val="00991E6D"/>
    <w:rsid w:val="00991EF6"/>
    <w:rsid w:val="00992035"/>
    <w:rsid w:val="00992098"/>
    <w:rsid w:val="009920DD"/>
    <w:rsid w:val="009921DB"/>
    <w:rsid w:val="009924DB"/>
    <w:rsid w:val="00992633"/>
    <w:rsid w:val="00992AFD"/>
    <w:rsid w:val="00992B94"/>
    <w:rsid w:val="009930B7"/>
    <w:rsid w:val="009930DA"/>
    <w:rsid w:val="00993329"/>
    <w:rsid w:val="00993433"/>
    <w:rsid w:val="00993903"/>
    <w:rsid w:val="00993CBA"/>
    <w:rsid w:val="00993CD6"/>
    <w:rsid w:val="0099417B"/>
    <w:rsid w:val="00994294"/>
    <w:rsid w:val="009942FA"/>
    <w:rsid w:val="009943F1"/>
    <w:rsid w:val="0099456F"/>
    <w:rsid w:val="00994792"/>
    <w:rsid w:val="009947AE"/>
    <w:rsid w:val="00994A18"/>
    <w:rsid w:val="00994B06"/>
    <w:rsid w:val="00994C47"/>
    <w:rsid w:val="00994C9D"/>
    <w:rsid w:val="009953E7"/>
    <w:rsid w:val="0099556E"/>
    <w:rsid w:val="0099577A"/>
    <w:rsid w:val="00995D4D"/>
    <w:rsid w:val="00995E86"/>
    <w:rsid w:val="00995EBD"/>
    <w:rsid w:val="009960C7"/>
    <w:rsid w:val="00996142"/>
    <w:rsid w:val="009962B4"/>
    <w:rsid w:val="009962E5"/>
    <w:rsid w:val="00996376"/>
    <w:rsid w:val="0099638A"/>
    <w:rsid w:val="00996675"/>
    <w:rsid w:val="0099668F"/>
    <w:rsid w:val="00996997"/>
    <w:rsid w:val="00996AA6"/>
    <w:rsid w:val="00996CED"/>
    <w:rsid w:val="00996D26"/>
    <w:rsid w:val="009979E0"/>
    <w:rsid w:val="00997A0C"/>
    <w:rsid w:val="00997B5E"/>
    <w:rsid w:val="00997DD2"/>
    <w:rsid w:val="00997E87"/>
    <w:rsid w:val="00997F6B"/>
    <w:rsid w:val="00997FDC"/>
    <w:rsid w:val="009A00AF"/>
    <w:rsid w:val="009A0138"/>
    <w:rsid w:val="009A04C1"/>
    <w:rsid w:val="009A085D"/>
    <w:rsid w:val="009A0B34"/>
    <w:rsid w:val="009A0CDC"/>
    <w:rsid w:val="009A1022"/>
    <w:rsid w:val="009A1223"/>
    <w:rsid w:val="009A13E9"/>
    <w:rsid w:val="009A13F7"/>
    <w:rsid w:val="009A1478"/>
    <w:rsid w:val="009A1542"/>
    <w:rsid w:val="009A1585"/>
    <w:rsid w:val="009A15C0"/>
    <w:rsid w:val="009A17A6"/>
    <w:rsid w:val="009A18E0"/>
    <w:rsid w:val="009A196B"/>
    <w:rsid w:val="009A1B0E"/>
    <w:rsid w:val="009A1CC8"/>
    <w:rsid w:val="009A1E80"/>
    <w:rsid w:val="009A1EF0"/>
    <w:rsid w:val="009A1F80"/>
    <w:rsid w:val="009A2347"/>
    <w:rsid w:val="009A24AD"/>
    <w:rsid w:val="009A2568"/>
    <w:rsid w:val="009A2768"/>
    <w:rsid w:val="009A27D0"/>
    <w:rsid w:val="009A2801"/>
    <w:rsid w:val="009A297B"/>
    <w:rsid w:val="009A2AC4"/>
    <w:rsid w:val="009A2E4E"/>
    <w:rsid w:val="009A3003"/>
    <w:rsid w:val="009A3025"/>
    <w:rsid w:val="009A3386"/>
    <w:rsid w:val="009A33E5"/>
    <w:rsid w:val="009A34A1"/>
    <w:rsid w:val="009A34FB"/>
    <w:rsid w:val="009A3643"/>
    <w:rsid w:val="009A36F8"/>
    <w:rsid w:val="009A3E95"/>
    <w:rsid w:val="009A4024"/>
    <w:rsid w:val="009A4625"/>
    <w:rsid w:val="009A4631"/>
    <w:rsid w:val="009A478D"/>
    <w:rsid w:val="009A47E3"/>
    <w:rsid w:val="009A4896"/>
    <w:rsid w:val="009A4E15"/>
    <w:rsid w:val="009A5377"/>
    <w:rsid w:val="009A5400"/>
    <w:rsid w:val="009A54B9"/>
    <w:rsid w:val="009A5564"/>
    <w:rsid w:val="009A56B8"/>
    <w:rsid w:val="009A583B"/>
    <w:rsid w:val="009A595E"/>
    <w:rsid w:val="009A5C6E"/>
    <w:rsid w:val="009A60D0"/>
    <w:rsid w:val="009A6120"/>
    <w:rsid w:val="009A63AD"/>
    <w:rsid w:val="009A63F7"/>
    <w:rsid w:val="009A64FD"/>
    <w:rsid w:val="009A6697"/>
    <w:rsid w:val="009A69E1"/>
    <w:rsid w:val="009A6C5A"/>
    <w:rsid w:val="009A6C82"/>
    <w:rsid w:val="009A6CA4"/>
    <w:rsid w:val="009A6DB5"/>
    <w:rsid w:val="009A6F91"/>
    <w:rsid w:val="009A72AF"/>
    <w:rsid w:val="009A7346"/>
    <w:rsid w:val="009A740B"/>
    <w:rsid w:val="009A7514"/>
    <w:rsid w:val="009A7641"/>
    <w:rsid w:val="009A7740"/>
    <w:rsid w:val="009A780C"/>
    <w:rsid w:val="009A799B"/>
    <w:rsid w:val="009A79FC"/>
    <w:rsid w:val="009A7A9A"/>
    <w:rsid w:val="009A7BEE"/>
    <w:rsid w:val="009A7E8B"/>
    <w:rsid w:val="009A7FE1"/>
    <w:rsid w:val="009B007C"/>
    <w:rsid w:val="009B0201"/>
    <w:rsid w:val="009B0260"/>
    <w:rsid w:val="009B03FA"/>
    <w:rsid w:val="009B07F8"/>
    <w:rsid w:val="009B0802"/>
    <w:rsid w:val="009B0851"/>
    <w:rsid w:val="009B0BE7"/>
    <w:rsid w:val="009B0BE8"/>
    <w:rsid w:val="009B0DF5"/>
    <w:rsid w:val="009B0F6A"/>
    <w:rsid w:val="009B12C1"/>
    <w:rsid w:val="009B1443"/>
    <w:rsid w:val="009B1686"/>
    <w:rsid w:val="009B16D5"/>
    <w:rsid w:val="009B1979"/>
    <w:rsid w:val="009B1AB2"/>
    <w:rsid w:val="009B1C01"/>
    <w:rsid w:val="009B1F36"/>
    <w:rsid w:val="009B1FB3"/>
    <w:rsid w:val="009B209B"/>
    <w:rsid w:val="009B20D5"/>
    <w:rsid w:val="009B2293"/>
    <w:rsid w:val="009B2585"/>
    <w:rsid w:val="009B263D"/>
    <w:rsid w:val="009B26A6"/>
    <w:rsid w:val="009B26BB"/>
    <w:rsid w:val="009B26BE"/>
    <w:rsid w:val="009B2709"/>
    <w:rsid w:val="009B2785"/>
    <w:rsid w:val="009B27EE"/>
    <w:rsid w:val="009B2934"/>
    <w:rsid w:val="009B2BD2"/>
    <w:rsid w:val="009B2C41"/>
    <w:rsid w:val="009B2CD2"/>
    <w:rsid w:val="009B2D43"/>
    <w:rsid w:val="009B2E8A"/>
    <w:rsid w:val="009B2E94"/>
    <w:rsid w:val="009B3054"/>
    <w:rsid w:val="009B31A8"/>
    <w:rsid w:val="009B338C"/>
    <w:rsid w:val="009B3530"/>
    <w:rsid w:val="009B37B9"/>
    <w:rsid w:val="009B3880"/>
    <w:rsid w:val="009B3CA2"/>
    <w:rsid w:val="009B3DAF"/>
    <w:rsid w:val="009B3E44"/>
    <w:rsid w:val="009B44BF"/>
    <w:rsid w:val="009B450C"/>
    <w:rsid w:val="009B45E1"/>
    <w:rsid w:val="009B494A"/>
    <w:rsid w:val="009B4DF1"/>
    <w:rsid w:val="009B4EC3"/>
    <w:rsid w:val="009B4EF5"/>
    <w:rsid w:val="009B4FD3"/>
    <w:rsid w:val="009B503A"/>
    <w:rsid w:val="009B56C3"/>
    <w:rsid w:val="009B5841"/>
    <w:rsid w:val="009B598E"/>
    <w:rsid w:val="009B5C1E"/>
    <w:rsid w:val="009B5E1A"/>
    <w:rsid w:val="009B5E47"/>
    <w:rsid w:val="009B5EB4"/>
    <w:rsid w:val="009B6122"/>
    <w:rsid w:val="009B635D"/>
    <w:rsid w:val="009B6365"/>
    <w:rsid w:val="009B643A"/>
    <w:rsid w:val="009B6520"/>
    <w:rsid w:val="009B6643"/>
    <w:rsid w:val="009B6645"/>
    <w:rsid w:val="009B6A43"/>
    <w:rsid w:val="009B6B35"/>
    <w:rsid w:val="009B6C4E"/>
    <w:rsid w:val="009B6D9B"/>
    <w:rsid w:val="009B6F9D"/>
    <w:rsid w:val="009B7123"/>
    <w:rsid w:val="009B756C"/>
    <w:rsid w:val="009B7615"/>
    <w:rsid w:val="009B77C4"/>
    <w:rsid w:val="009B78E5"/>
    <w:rsid w:val="009B7B52"/>
    <w:rsid w:val="009B7CEC"/>
    <w:rsid w:val="009B7D9E"/>
    <w:rsid w:val="009B7EE9"/>
    <w:rsid w:val="009B7F70"/>
    <w:rsid w:val="009C044D"/>
    <w:rsid w:val="009C0702"/>
    <w:rsid w:val="009C0766"/>
    <w:rsid w:val="009C0ABE"/>
    <w:rsid w:val="009C0E6B"/>
    <w:rsid w:val="009C101C"/>
    <w:rsid w:val="009C10BC"/>
    <w:rsid w:val="009C1104"/>
    <w:rsid w:val="009C11DC"/>
    <w:rsid w:val="009C1561"/>
    <w:rsid w:val="009C15A3"/>
    <w:rsid w:val="009C15F4"/>
    <w:rsid w:val="009C164E"/>
    <w:rsid w:val="009C16A3"/>
    <w:rsid w:val="009C1797"/>
    <w:rsid w:val="009C1863"/>
    <w:rsid w:val="009C194F"/>
    <w:rsid w:val="009C1997"/>
    <w:rsid w:val="009C1C6C"/>
    <w:rsid w:val="009C1FA2"/>
    <w:rsid w:val="009C2185"/>
    <w:rsid w:val="009C2445"/>
    <w:rsid w:val="009C24E7"/>
    <w:rsid w:val="009C265D"/>
    <w:rsid w:val="009C271C"/>
    <w:rsid w:val="009C2CDF"/>
    <w:rsid w:val="009C2D3B"/>
    <w:rsid w:val="009C2D85"/>
    <w:rsid w:val="009C2DF8"/>
    <w:rsid w:val="009C2F4A"/>
    <w:rsid w:val="009C32B7"/>
    <w:rsid w:val="009C32CD"/>
    <w:rsid w:val="009C3396"/>
    <w:rsid w:val="009C3537"/>
    <w:rsid w:val="009C35A5"/>
    <w:rsid w:val="009C3654"/>
    <w:rsid w:val="009C3780"/>
    <w:rsid w:val="009C3845"/>
    <w:rsid w:val="009C39A2"/>
    <w:rsid w:val="009C3A17"/>
    <w:rsid w:val="009C3A9B"/>
    <w:rsid w:val="009C3FB3"/>
    <w:rsid w:val="009C3FDC"/>
    <w:rsid w:val="009C401F"/>
    <w:rsid w:val="009C405C"/>
    <w:rsid w:val="009C44A7"/>
    <w:rsid w:val="009C49D0"/>
    <w:rsid w:val="009C4AE9"/>
    <w:rsid w:val="009C4BEC"/>
    <w:rsid w:val="009C4FA6"/>
    <w:rsid w:val="009C4FA9"/>
    <w:rsid w:val="009C4FFA"/>
    <w:rsid w:val="009C5014"/>
    <w:rsid w:val="009C5282"/>
    <w:rsid w:val="009C5296"/>
    <w:rsid w:val="009C5333"/>
    <w:rsid w:val="009C55BF"/>
    <w:rsid w:val="009C5976"/>
    <w:rsid w:val="009C5C88"/>
    <w:rsid w:val="009C5E97"/>
    <w:rsid w:val="009C6094"/>
    <w:rsid w:val="009C661E"/>
    <w:rsid w:val="009C6A42"/>
    <w:rsid w:val="009C6DFD"/>
    <w:rsid w:val="009C6F5B"/>
    <w:rsid w:val="009C7172"/>
    <w:rsid w:val="009C7368"/>
    <w:rsid w:val="009C73C0"/>
    <w:rsid w:val="009C7508"/>
    <w:rsid w:val="009C7843"/>
    <w:rsid w:val="009C7F74"/>
    <w:rsid w:val="009D0018"/>
    <w:rsid w:val="009D01EE"/>
    <w:rsid w:val="009D01F7"/>
    <w:rsid w:val="009D04B2"/>
    <w:rsid w:val="009D06DC"/>
    <w:rsid w:val="009D0725"/>
    <w:rsid w:val="009D0734"/>
    <w:rsid w:val="009D07CA"/>
    <w:rsid w:val="009D0A91"/>
    <w:rsid w:val="009D0B01"/>
    <w:rsid w:val="009D0D29"/>
    <w:rsid w:val="009D0DD2"/>
    <w:rsid w:val="009D0DE1"/>
    <w:rsid w:val="009D0E26"/>
    <w:rsid w:val="009D0EAB"/>
    <w:rsid w:val="009D1311"/>
    <w:rsid w:val="009D1423"/>
    <w:rsid w:val="009D16AB"/>
    <w:rsid w:val="009D16E0"/>
    <w:rsid w:val="009D1701"/>
    <w:rsid w:val="009D18C3"/>
    <w:rsid w:val="009D1A34"/>
    <w:rsid w:val="009D1AA2"/>
    <w:rsid w:val="009D1B21"/>
    <w:rsid w:val="009D1E69"/>
    <w:rsid w:val="009D1F69"/>
    <w:rsid w:val="009D2079"/>
    <w:rsid w:val="009D20A4"/>
    <w:rsid w:val="009D2572"/>
    <w:rsid w:val="009D25B9"/>
    <w:rsid w:val="009D288F"/>
    <w:rsid w:val="009D2C15"/>
    <w:rsid w:val="009D2C34"/>
    <w:rsid w:val="009D2D60"/>
    <w:rsid w:val="009D2E48"/>
    <w:rsid w:val="009D3271"/>
    <w:rsid w:val="009D3359"/>
    <w:rsid w:val="009D34DD"/>
    <w:rsid w:val="009D3523"/>
    <w:rsid w:val="009D355C"/>
    <w:rsid w:val="009D36BA"/>
    <w:rsid w:val="009D3723"/>
    <w:rsid w:val="009D3851"/>
    <w:rsid w:val="009D390B"/>
    <w:rsid w:val="009D4029"/>
    <w:rsid w:val="009D40B8"/>
    <w:rsid w:val="009D4107"/>
    <w:rsid w:val="009D4147"/>
    <w:rsid w:val="009D4309"/>
    <w:rsid w:val="009D439D"/>
    <w:rsid w:val="009D43F5"/>
    <w:rsid w:val="009D4401"/>
    <w:rsid w:val="009D463C"/>
    <w:rsid w:val="009D4B23"/>
    <w:rsid w:val="009D4BAA"/>
    <w:rsid w:val="009D4FBE"/>
    <w:rsid w:val="009D50A6"/>
    <w:rsid w:val="009D5162"/>
    <w:rsid w:val="009D51EC"/>
    <w:rsid w:val="009D5379"/>
    <w:rsid w:val="009D53B6"/>
    <w:rsid w:val="009D53CC"/>
    <w:rsid w:val="009D5487"/>
    <w:rsid w:val="009D57E8"/>
    <w:rsid w:val="009D5B4D"/>
    <w:rsid w:val="009D616C"/>
    <w:rsid w:val="009D618C"/>
    <w:rsid w:val="009D632E"/>
    <w:rsid w:val="009D6487"/>
    <w:rsid w:val="009D6531"/>
    <w:rsid w:val="009D69EA"/>
    <w:rsid w:val="009D702B"/>
    <w:rsid w:val="009D70FC"/>
    <w:rsid w:val="009D71F9"/>
    <w:rsid w:val="009D74D8"/>
    <w:rsid w:val="009D7812"/>
    <w:rsid w:val="009D7C4B"/>
    <w:rsid w:val="009D7E34"/>
    <w:rsid w:val="009D7F5D"/>
    <w:rsid w:val="009E04D8"/>
    <w:rsid w:val="009E0555"/>
    <w:rsid w:val="009E0557"/>
    <w:rsid w:val="009E0564"/>
    <w:rsid w:val="009E060F"/>
    <w:rsid w:val="009E0AAB"/>
    <w:rsid w:val="009E0B69"/>
    <w:rsid w:val="009E0E1B"/>
    <w:rsid w:val="009E0E3F"/>
    <w:rsid w:val="009E1420"/>
    <w:rsid w:val="009E146B"/>
    <w:rsid w:val="009E14C2"/>
    <w:rsid w:val="009E1576"/>
    <w:rsid w:val="009E172E"/>
    <w:rsid w:val="009E186E"/>
    <w:rsid w:val="009E19CA"/>
    <w:rsid w:val="009E1B9D"/>
    <w:rsid w:val="009E1D1B"/>
    <w:rsid w:val="009E1DFC"/>
    <w:rsid w:val="009E1FFE"/>
    <w:rsid w:val="009E2041"/>
    <w:rsid w:val="009E2832"/>
    <w:rsid w:val="009E2A5C"/>
    <w:rsid w:val="009E2A97"/>
    <w:rsid w:val="009E2AC4"/>
    <w:rsid w:val="009E2B69"/>
    <w:rsid w:val="009E2BEA"/>
    <w:rsid w:val="009E33E1"/>
    <w:rsid w:val="009E357E"/>
    <w:rsid w:val="009E37CD"/>
    <w:rsid w:val="009E398A"/>
    <w:rsid w:val="009E39BE"/>
    <w:rsid w:val="009E3AA0"/>
    <w:rsid w:val="009E3B39"/>
    <w:rsid w:val="009E3C31"/>
    <w:rsid w:val="009E3CCD"/>
    <w:rsid w:val="009E3D43"/>
    <w:rsid w:val="009E3E54"/>
    <w:rsid w:val="009E3F70"/>
    <w:rsid w:val="009E4079"/>
    <w:rsid w:val="009E43E2"/>
    <w:rsid w:val="009E44F7"/>
    <w:rsid w:val="009E478B"/>
    <w:rsid w:val="009E48FD"/>
    <w:rsid w:val="009E506F"/>
    <w:rsid w:val="009E513A"/>
    <w:rsid w:val="009E5334"/>
    <w:rsid w:val="009E5769"/>
    <w:rsid w:val="009E5C19"/>
    <w:rsid w:val="009E6137"/>
    <w:rsid w:val="009E64FC"/>
    <w:rsid w:val="009E65D8"/>
    <w:rsid w:val="009E65FB"/>
    <w:rsid w:val="009E6610"/>
    <w:rsid w:val="009E66D7"/>
    <w:rsid w:val="009E670A"/>
    <w:rsid w:val="009E6ACF"/>
    <w:rsid w:val="009E6B95"/>
    <w:rsid w:val="009E6D78"/>
    <w:rsid w:val="009E71A2"/>
    <w:rsid w:val="009E7297"/>
    <w:rsid w:val="009E7382"/>
    <w:rsid w:val="009E73D1"/>
    <w:rsid w:val="009E7592"/>
    <w:rsid w:val="009E76D6"/>
    <w:rsid w:val="009E7750"/>
    <w:rsid w:val="009E7B3C"/>
    <w:rsid w:val="009E7BC6"/>
    <w:rsid w:val="009E7C00"/>
    <w:rsid w:val="009E7C29"/>
    <w:rsid w:val="009E7DE5"/>
    <w:rsid w:val="009F016F"/>
    <w:rsid w:val="009F04E4"/>
    <w:rsid w:val="009F0CCB"/>
    <w:rsid w:val="009F0D71"/>
    <w:rsid w:val="009F1085"/>
    <w:rsid w:val="009F1474"/>
    <w:rsid w:val="009F165D"/>
    <w:rsid w:val="009F17EF"/>
    <w:rsid w:val="009F197E"/>
    <w:rsid w:val="009F1E11"/>
    <w:rsid w:val="009F1E40"/>
    <w:rsid w:val="009F1EEA"/>
    <w:rsid w:val="009F1EF5"/>
    <w:rsid w:val="009F1F61"/>
    <w:rsid w:val="009F201E"/>
    <w:rsid w:val="009F20A5"/>
    <w:rsid w:val="009F20F6"/>
    <w:rsid w:val="009F2102"/>
    <w:rsid w:val="009F2385"/>
    <w:rsid w:val="009F29C6"/>
    <w:rsid w:val="009F2A5F"/>
    <w:rsid w:val="009F2B0D"/>
    <w:rsid w:val="009F2B8C"/>
    <w:rsid w:val="009F2CC1"/>
    <w:rsid w:val="009F2CF8"/>
    <w:rsid w:val="009F2F8C"/>
    <w:rsid w:val="009F31AB"/>
    <w:rsid w:val="009F3323"/>
    <w:rsid w:val="009F37D3"/>
    <w:rsid w:val="009F3B61"/>
    <w:rsid w:val="009F3C57"/>
    <w:rsid w:val="009F3CAD"/>
    <w:rsid w:val="009F3D25"/>
    <w:rsid w:val="009F3E3D"/>
    <w:rsid w:val="009F4065"/>
    <w:rsid w:val="009F4100"/>
    <w:rsid w:val="009F45B2"/>
    <w:rsid w:val="009F4B6C"/>
    <w:rsid w:val="009F4E09"/>
    <w:rsid w:val="009F5082"/>
    <w:rsid w:val="009F5342"/>
    <w:rsid w:val="009F5583"/>
    <w:rsid w:val="009F5830"/>
    <w:rsid w:val="009F5836"/>
    <w:rsid w:val="009F5963"/>
    <w:rsid w:val="009F5B71"/>
    <w:rsid w:val="009F5D43"/>
    <w:rsid w:val="009F5E3F"/>
    <w:rsid w:val="009F6022"/>
    <w:rsid w:val="009F6153"/>
    <w:rsid w:val="009F61F4"/>
    <w:rsid w:val="009F63E2"/>
    <w:rsid w:val="009F64A5"/>
    <w:rsid w:val="009F67C1"/>
    <w:rsid w:val="009F6ECF"/>
    <w:rsid w:val="009F705D"/>
    <w:rsid w:val="009F707F"/>
    <w:rsid w:val="009F7184"/>
    <w:rsid w:val="009F72AA"/>
    <w:rsid w:val="009F7615"/>
    <w:rsid w:val="009F7841"/>
    <w:rsid w:val="009F7CFD"/>
    <w:rsid w:val="009F7E4C"/>
    <w:rsid w:val="009F7E53"/>
    <w:rsid w:val="00A00045"/>
    <w:rsid w:val="00A00078"/>
    <w:rsid w:val="00A00167"/>
    <w:rsid w:val="00A004DD"/>
    <w:rsid w:val="00A007A7"/>
    <w:rsid w:val="00A0090C"/>
    <w:rsid w:val="00A00915"/>
    <w:rsid w:val="00A0095E"/>
    <w:rsid w:val="00A00D4C"/>
    <w:rsid w:val="00A00F6B"/>
    <w:rsid w:val="00A010AC"/>
    <w:rsid w:val="00A012CD"/>
    <w:rsid w:val="00A01443"/>
    <w:rsid w:val="00A014E1"/>
    <w:rsid w:val="00A01508"/>
    <w:rsid w:val="00A018C7"/>
    <w:rsid w:val="00A01962"/>
    <w:rsid w:val="00A01B38"/>
    <w:rsid w:val="00A01C0C"/>
    <w:rsid w:val="00A0216E"/>
    <w:rsid w:val="00A02709"/>
    <w:rsid w:val="00A0271B"/>
    <w:rsid w:val="00A02815"/>
    <w:rsid w:val="00A0286B"/>
    <w:rsid w:val="00A02A15"/>
    <w:rsid w:val="00A02CE4"/>
    <w:rsid w:val="00A02D05"/>
    <w:rsid w:val="00A0311B"/>
    <w:rsid w:val="00A033F1"/>
    <w:rsid w:val="00A034A8"/>
    <w:rsid w:val="00A034FE"/>
    <w:rsid w:val="00A03712"/>
    <w:rsid w:val="00A03783"/>
    <w:rsid w:val="00A037BE"/>
    <w:rsid w:val="00A03952"/>
    <w:rsid w:val="00A03B8B"/>
    <w:rsid w:val="00A03CD4"/>
    <w:rsid w:val="00A03CEA"/>
    <w:rsid w:val="00A03E39"/>
    <w:rsid w:val="00A043DE"/>
    <w:rsid w:val="00A045E8"/>
    <w:rsid w:val="00A0465B"/>
    <w:rsid w:val="00A0476D"/>
    <w:rsid w:val="00A047D4"/>
    <w:rsid w:val="00A04B2C"/>
    <w:rsid w:val="00A04C7B"/>
    <w:rsid w:val="00A04E37"/>
    <w:rsid w:val="00A0502D"/>
    <w:rsid w:val="00A05061"/>
    <w:rsid w:val="00A0517B"/>
    <w:rsid w:val="00A0525E"/>
    <w:rsid w:val="00A05286"/>
    <w:rsid w:val="00A0544F"/>
    <w:rsid w:val="00A05512"/>
    <w:rsid w:val="00A057B5"/>
    <w:rsid w:val="00A05875"/>
    <w:rsid w:val="00A059C8"/>
    <w:rsid w:val="00A05AA3"/>
    <w:rsid w:val="00A05BD1"/>
    <w:rsid w:val="00A05C77"/>
    <w:rsid w:val="00A05FA9"/>
    <w:rsid w:val="00A05FBB"/>
    <w:rsid w:val="00A06386"/>
    <w:rsid w:val="00A063E2"/>
    <w:rsid w:val="00A06456"/>
    <w:rsid w:val="00A064F7"/>
    <w:rsid w:val="00A066F7"/>
    <w:rsid w:val="00A068AC"/>
    <w:rsid w:val="00A06DCE"/>
    <w:rsid w:val="00A06EBC"/>
    <w:rsid w:val="00A06FCA"/>
    <w:rsid w:val="00A071B9"/>
    <w:rsid w:val="00A07546"/>
    <w:rsid w:val="00A076BF"/>
    <w:rsid w:val="00A077EF"/>
    <w:rsid w:val="00A07D2D"/>
    <w:rsid w:val="00A07EDC"/>
    <w:rsid w:val="00A1014A"/>
    <w:rsid w:val="00A102B0"/>
    <w:rsid w:val="00A1048B"/>
    <w:rsid w:val="00A10653"/>
    <w:rsid w:val="00A10769"/>
    <w:rsid w:val="00A1083E"/>
    <w:rsid w:val="00A10A84"/>
    <w:rsid w:val="00A10B7E"/>
    <w:rsid w:val="00A10C1D"/>
    <w:rsid w:val="00A10CFD"/>
    <w:rsid w:val="00A113FA"/>
    <w:rsid w:val="00A11701"/>
    <w:rsid w:val="00A1190F"/>
    <w:rsid w:val="00A11B2B"/>
    <w:rsid w:val="00A11DEE"/>
    <w:rsid w:val="00A1204E"/>
    <w:rsid w:val="00A12821"/>
    <w:rsid w:val="00A128FB"/>
    <w:rsid w:val="00A12EEE"/>
    <w:rsid w:val="00A1309C"/>
    <w:rsid w:val="00A130BD"/>
    <w:rsid w:val="00A130F6"/>
    <w:rsid w:val="00A13116"/>
    <w:rsid w:val="00A1335F"/>
    <w:rsid w:val="00A13447"/>
    <w:rsid w:val="00A1345C"/>
    <w:rsid w:val="00A136E3"/>
    <w:rsid w:val="00A13858"/>
    <w:rsid w:val="00A13A96"/>
    <w:rsid w:val="00A13D5A"/>
    <w:rsid w:val="00A13E77"/>
    <w:rsid w:val="00A13FF1"/>
    <w:rsid w:val="00A141A0"/>
    <w:rsid w:val="00A141ED"/>
    <w:rsid w:val="00A14260"/>
    <w:rsid w:val="00A142BD"/>
    <w:rsid w:val="00A1440B"/>
    <w:rsid w:val="00A1453E"/>
    <w:rsid w:val="00A146E2"/>
    <w:rsid w:val="00A14748"/>
    <w:rsid w:val="00A14989"/>
    <w:rsid w:val="00A14A6A"/>
    <w:rsid w:val="00A14A92"/>
    <w:rsid w:val="00A14AAD"/>
    <w:rsid w:val="00A14BCA"/>
    <w:rsid w:val="00A14C44"/>
    <w:rsid w:val="00A14E54"/>
    <w:rsid w:val="00A14E5E"/>
    <w:rsid w:val="00A14EC5"/>
    <w:rsid w:val="00A14F40"/>
    <w:rsid w:val="00A15219"/>
    <w:rsid w:val="00A15406"/>
    <w:rsid w:val="00A154A6"/>
    <w:rsid w:val="00A158EC"/>
    <w:rsid w:val="00A15A2F"/>
    <w:rsid w:val="00A15BF4"/>
    <w:rsid w:val="00A15DD0"/>
    <w:rsid w:val="00A15EB9"/>
    <w:rsid w:val="00A16030"/>
    <w:rsid w:val="00A1628C"/>
    <w:rsid w:val="00A1638A"/>
    <w:rsid w:val="00A16623"/>
    <w:rsid w:val="00A16A31"/>
    <w:rsid w:val="00A16B08"/>
    <w:rsid w:val="00A16CBF"/>
    <w:rsid w:val="00A170FC"/>
    <w:rsid w:val="00A1740E"/>
    <w:rsid w:val="00A174CD"/>
    <w:rsid w:val="00A176F6"/>
    <w:rsid w:val="00A17728"/>
    <w:rsid w:val="00A178F6"/>
    <w:rsid w:val="00A1792B"/>
    <w:rsid w:val="00A17A62"/>
    <w:rsid w:val="00A17AD3"/>
    <w:rsid w:val="00A17C94"/>
    <w:rsid w:val="00A17D4F"/>
    <w:rsid w:val="00A17DFA"/>
    <w:rsid w:val="00A17E9F"/>
    <w:rsid w:val="00A17F23"/>
    <w:rsid w:val="00A17F40"/>
    <w:rsid w:val="00A17FCF"/>
    <w:rsid w:val="00A20147"/>
    <w:rsid w:val="00A205F4"/>
    <w:rsid w:val="00A20741"/>
    <w:rsid w:val="00A20D06"/>
    <w:rsid w:val="00A20E44"/>
    <w:rsid w:val="00A20E7D"/>
    <w:rsid w:val="00A20EA2"/>
    <w:rsid w:val="00A20F95"/>
    <w:rsid w:val="00A20FE6"/>
    <w:rsid w:val="00A2111D"/>
    <w:rsid w:val="00A21298"/>
    <w:rsid w:val="00A212B4"/>
    <w:rsid w:val="00A21380"/>
    <w:rsid w:val="00A2176B"/>
    <w:rsid w:val="00A218D4"/>
    <w:rsid w:val="00A21A63"/>
    <w:rsid w:val="00A21D0A"/>
    <w:rsid w:val="00A21F23"/>
    <w:rsid w:val="00A21FD5"/>
    <w:rsid w:val="00A221BE"/>
    <w:rsid w:val="00A22374"/>
    <w:rsid w:val="00A223AC"/>
    <w:rsid w:val="00A22462"/>
    <w:rsid w:val="00A224A9"/>
    <w:rsid w:val="00A227BC"/>
    <w:rsid w:val="00A22844"/>
    <w:rsid w:val="00A228F1"/>
    <w:rsid w:val="00A22C85"/>
    <w:rsid w:val="00A22D18"/>
    <w:rsid w:val="00A22FB7"/>
    <w:rsid w:val="00A2312B"/>
    <w:rsid w:val="00A2315E"/>
    <w:rsid w:val="00A232A3"/>
    <w:rsid w:val="00A235A7"/>
    <w:rsid w:val="00A237A0"/>
    <w:rsid w:val="00A23AAD"/>
    <w:rsid w:val="00A23B50"/>
    <w:rsid w:val="00A23CE6"/>
    <w:rsid w:val="00A23D5F"/>
    <w:rsid w:val="00A23EB0"/>
    <w:rsid w:val="00A23F7C"/>
    <w:rsid w:val="00A23F81"/>
    <w:rsid w:val="00A24261"/>
    <w:rsid w:val="00A242C7"/>
    <w:rsid w:val="00A24438"/>
    <w:rsid w:val="00A24520"/>
    <w:rsid w:val="00A24A9E"/>
    <w:rsid w:val="00A24EAC"/>
    <w:rsid w:val="00A24F60"/>
    <w:rsid w:val="00A25019"/>
    <w:rsid w:val="00A25126"/>
    <w:rsid w:val="00A253AA"/>
    <w:rsid w:val="00A254AB"/>
    <w:rsid w:val="00A25532"/>
    <w:rsid w:val="00A25562"/>
    <w:rsid w:val="00A256D1"/>
    <w:rsid w:val="00A256DC"/>
    <w:rsid w:val="00A256E2"/>
    <w:rsid w:val="00A257B5"/>
    <w:rsid w:val="00A2589C"/>
    <w:rsid w:val="00A258E6"/>
    <w:rsid w:val="00A259DD"/>
    <w:rsid w:val="00A25B91"/>
    <w:rsid w:val="00A25D85"/>
    <w:rsid w:val="00A263D7"/>
    <w:rsid w:val="00A26422"/>
    <w:rsid w:val="00A26455"/>
    <w:rsid w:val="00A2646D"/>
    <w:rsid w:val="00A265AE"/>
    <w:rsid w:val="00A266C0"/>
    <w:rsid w:val="00A26C6A"/>
    <w:rsid w:val="00A26E21"/>
    <w:rsid w:val="00A26E56"/>
    <w:rsid w:val="00A26FA5"/>
    <w:rsid w:val="00A2704C"/>
    <w:rsid w:val="00A270C5"/>
    <w:rsid w:val="00A274F1"/>
    <w:rsid w:val="00A27929"/>
    <w:rsid w:val="00A27BA8"/>
    <w:rsid w:val="00A27CAE"/>
    <w:rsid w:val="00A30003"/>
    <w:rsid w:val="00A30300"/>
    <w:rsid w:val="00A30338"/>
    <w:rsid w:val="00A303A1"/>
    <w:rsid w:val="00A3046E"/>
    <w:rsid w:val="00A3069C"/>
    <w:rsid w:val="00A30737"/>
    <w:rsid w:val="00A3077A"/>
    <w:rsid w:val="00A30974"/>
    <w:rsid w:val="00A30DC3"/>
    <w:rsid w:val="00A30EB6"/>
    <w:rsid w:val="00A30FB4"/>
    <w:rsid w:val="00A31135"/>
    <w:rsid w:val="00A3131D"/>
    <w:rsid w:val="00A3180E"/>
    <w:rsid w:val="00A318CE"/>
    <w:rsid w:val="00A3198A"/>
    <w:rsid w:val="00A31A30"/>
    <w:rsid w:val="00A31A5E"/>
    <w:rsid w:val="00A31BB2"/>
    <w:rsid w:val="00A31E75"/>
    <w:rsid w:val="00A31F56"/>
    <w:rsid w:val="00A32119"/>
    <w:rsid w:val="00A32290"/>
    <w:rsid w:val="00A322BE"/>
    <w:rsid w:val="00A32478"/>
    <w:rsid w:val="00A325AE"/>
    <w:rsid w:val="00A32708"/>
    <w:rsid w:val="00A32A09"/>
    <w:rsid w:val="00A32AF1"/>
    <w:rsid w:val="00A32B43"/>
    <w:rsid w:val="00A32CBC"/>
    <w:rsid w:val="00A32E34"/>
    <w:rsid w:val="00A32EAE"/>
    <w:rsid w:val="00A3310D"/>
    <w:rsid w:val="00A3340F"/>
    <w:rsid w:val="00A334E1"/>
    <w:rsid w:val="00A33540"/>
    <w:rsid w:val="00A3366E"/>
    <w:rsid w:val="00A339E1"/>
    <w:rsid w:val="00A3411E"/>
    <w:rsid w:val="00A34186"/>
    <w:rsid w:val="00A341BD"/>
    <w:rsid w:val="00A34361"/>
    <w:rsid w:val="00A34A89"/>
    <w:rsid w:val="00A354A6"/>
    <w:rsid w:val="00A3556D"/>
    <w:rsid w:val="00A35896"/>
    <w:rsid w:val="00A35950"/>
    <w:rsid w:val="00A35988"/>
    <w:rsid w:val="00A35A25"/>
    <w:rsid w:val="00A35A5C"/>
    <w:rsid w:val="00A35B41"/>
    <w:rsid w:val="00A35B7E"/>
    <w:rsid w:val="00A35DD3"/>
    <w:rsid w:val="00A36037"/>
    <w:rsid w:val="00A36043"/>
    <w:rsid w:val="00A36089"/>
    <w:rsid w:val="00A362DD"/>
    <w:rsid w:val="00A3656C"/>
    <w:rsid w:val="00A365A8"/>
    <w:rsid w:val="00A367E3"/>
    <w:rsid w:val="00A36C71"/>
    <w:rsid w:val="00A36CA8"/>
    <w:rsid w:val="00A36F44"/>
    <w:rsid w:val="00A3723B"/>
    <w:rsid w:val="00A37349"/>
    <w:rsid w:val="00A3748A"/>
    <w:rsid w:val="00A37647"/>
    <w:rsid w:val="00A3768A"/>
    <w:rsid w:val="00A3769D"/>
    <w:rsid w:val="00A37C10"/>
    <w:rsid w:val="00A37C6E"/>
    <w:rsid w:val="00A37DC7"/>
    <w:rsid w:val="00A37E6D"/>
    <w:rsid w:val="00A37F50"/>
    <w:rsid w:val="00A40211"/>
    <w:rsid w:val="00A403AC"/>
    <w:rsid w:val="00A404A7"/>
    <w:rsid w:val="00A404AC"/>
    <w:rsid w:val="00A404ED"/>
    <w:rsid w:val="00A40585"/>
    <w:rsid w:val="00A409CF"/>
    <w:rsid w:val="00A40AA8"/>
    <w:rsid w:val="00A40D2A"/>
    <w:rsid w:val="00A40E86"/>
    <w:rsid w:val="00A41255"/>
    <w:rsid w:val="00A41558"/>
    <w:rsid w:val="00A4186A"/>
    <w:rsid w:val="00A41899"/>
    <w:rsid w:val="00A4192E"/>
    <w:rsid w:val="00A4198C"/>
    <w:rsid w:val="00A41ACF"/>
    <w:rsid w:val="00A41FDB"/>
    <w:rsid w:val="00A421A2"/>
    <w:rsid w:val="00A427AE"/>
    <w:rsid w:val="00A42C49"/>
    <w:rsid w:val="00A42D31"/>
    <w:rsid w:val="00A42E61"/>
    <w:rsid w:val="00A42E92"/>
    <w:rsid w:val="00A43102"/>
    <w:rsid w:val="00A43401"/>
    <w:rsid w:val="00A4351F"/>
    <w:rsid w:val="00A43F0A"/>
    <w:rsid w:val="00A43F19"/>
    <w:rsid w:val="00A4404B"/>
    <w:rsid w:val="00A444D0"/>
    <w:rsid w:val="00A446B7"/>
    <w:rsid w:val="00A44755"/>
    <w:rsid w:val="00A44860"/>
    <w:rsid w:val="00A44974"/>
    <w:rsid w:val="00A449C5"/>
    <w:rsid w:val="00A449D8"/>
    <w:rsid w:val="00A449F5"/>
    <w:rsid w:val="00A44A9B"/>
    <w:rsid w:val="00A44BDD"/>
    <w:rsid w:val="00A44BEC"/>
    <w:rsid w:val="00A44D9F"/>
    <w:rsid w:val="00A4515C"/>
    <w:rsid w:val="00A45197"/>
    <w:rsid w:val="00A451DB"/>
    <w:rsid w:val="00A454C0"/>
    <w:rsid w:val="00A457F1"/>
    <w:rsid w:val="00A45A04"/>
    <w:rsid w:val="00A45DD2"/>
    <w:rsid w:val="00A45FC3"/>
    <w:rsid w:val="00A4601E"/>
    <w:rsid w:val="00A4617D"/>
    <w:rsid w:val="00A462F3"/>
    <w:rsid w:val="00A46444"/>
    <w:rsid w:val="00A464E4"/>
    <w:rsid w:val="00A46551"/>
    <w:rsid w:val="00A466EA"/>
    <w:rsid w:val="00A4683F"/>
    <w:rsid w:val="00A46AA2"/>
    <w:rsid w:val="00A46B65"/>
    <w:rsid w:val="00A46BCF"/>
    <w:rsid w:val="00A46E0D"/>
    <w:rsid w:val="00A46E3C"/>
    <w:rsid w:val="00A46F36"/>
    <w:rsid w:val="00A47045"/>
    <w:rsid w:val="00A47285"/>
    <w:rsid w:val="00A4744A"/>
    <w:rsid w:val="00A4773B"/>
    <w:rsid w:val="00A47789"/>
    <w:rsid w:val="00A478A6"/>
    <w:rsid w:val="00A479FE"/>
    <w:rsid w:val="00A47B33"/>
    <w:rsid w:val="00A47B5F"/>
    <w:rsid w:val="00A47B78"/>
    <w:rsid w:val="00A47CA8"/>
    <w:rsid w:val="00A47DB7"/>
    <w:rsid w:val="00A502CE"/>
    <w:rsid w:val="00A5031E"/>
    <w:rsid w:val="00A508C3"/>
    <w:rsid w:val="00A508CB"/>
    <w:rsid w:val="00A50A8C"/>
    <w:rsid w:val="00A5115A"/>
    <w:rsid w:val="00A512E0"/>
    <w:rsid w:val="00A5135D"/>
    <w:rsid w:val="00A5157E"/>
    <w:rsid w:val="00A51797"/>
    <w:rsid w:val="00A518AE"/>
    <w:rsid w:val="00A51B77"/>
    <w:rsid w:val="00A5230E"/>
    <w:rsid w:val="00A5232E"/>
    <w:rsid w:val="00A523F2"/>
    <w:rsid w:val="00A527BE"/>
    <w:rsid w:val="00A528D9"/>
    <w:rsid w:val="00A52977"/>
    <w:rsid w:val="00A52C57"/>
    <w:rsid w:val="00A52D36"/>
    <w:rsid w:val="00A52D84"/>
    <w:rsid w:val="00A52E93"/>
    <w:rsid w:val="00A52E95"/>
    <w:rsid w:val="00A52FF7"/>
    <w:rsid w:val="00A53130"/>
    <w:rsid w:val="00A531E0"/>
    <w:rsid w:val="00A53441"/>
    <w:rsid w:val="00A53539"/>
    <w:rsid w:val="00A5361F"/>
    <w:rsid w:val="00A5378A"/>
    <w:rsid w:val="00A53A17"/>
    <w:rsid w:val="00A53A40"/>
    <w:rsid w:val="00A53AF9"/>
    <w:rsid w:val="00A53D5D"/>
    <w:rsid w:val="00A53FE0"/>
    <w:rsid w:val="00A54010"/>
    <w:rsid w:val="00A540F1"/>
    <w:rsid w:val="00A542AB"/>
    <w:rsid w:val="00A54588"/>
    <w:rsid w:val="00A54857"/>
    <w:rsid w:val="00A54DAE"/>
    <w:rsid w:val="00A54E42"/>
    <w:rsid w:val="00A54E4A"/>
    <w:rsid w:val="00A54EAB"/>
    <w:rsid w:val="00A550A9"/>
    <w:rsid w:val="00A55178"/>
    <w:rsid w:val="00A554DC"/>
    <w:rsid w:val="00A55681"/>
    <w:rsid w:val="00A558B5"/>
    <w:rsid w:val="00A55DD3"/>
    <w:rsid w:val="00A55DE7"/>
    <w:rsid w:val="00A55E57"/>
    <w:rsid w:val="00A55F3C"/>
    <w:rsid w:val="00A56010"/>
    <w:rsid w:val="00A56040"/>
    <w:rsid w:val="00A56067"/>
    <w:rsid w:val="00A56075"/>
    <w:rsid w:val="00A56205"/>
    <w:rsid w:val="00A5622A"/>
    <w:rsid w:val="00A562CB"/>
    <w:rsid w:val="00A5636A"/>
    <w:rsid w:val="00A5637D"/>
    <w:rsid w:val="00A5638E"/>
    <w:rsid w:val="00A563B1"/>
    <w:rsid w:val="00A5673C"/>
    <w:rsid w:val="00A56ACE"/>
    <w:rsid w:val="00A570B1"/>
    <w:rsid w:val="00A570E7"/>
    <w:rsid w:val="00A571DF"/>
    <w:rsid w:val="00A5733A"/>
    <w:rsid w:val="00A5739D"/>
    <w:rsid w:val="00A57417"/>
    <w:rsid w:val="00A574DE"/>
    <w:rsid w:val="00A577C9"/>
    <w:rsid w:val="00A57874"/>
    <w:rsid w:val="00A579B9"/>
    <w:rsid w:val="00A57AB3"/>
    <w:rsid w:val="00A57C36"/>
    <w:rsid w:val="00A57C5A"/>
    <w:rsid w:val="00A57C80"/>
    <w:rsid w:val="00A57D4D"/>
    <w:rsid w:val="00A6021E"/>
    <w:rsid w:val="00A60233"/>
    <w:rsid w:val="00A605F6"/>
    <w:rsid w:val="00A60646"/>
    <w:rsid w:val="00A6070B"/>
    <w:rsid w:val="00A608A2"/>
    <w:rsid w:val="00A60ACB"/>
    <w:rsid w:val="00A60C23"/>
    <w:rsid w:val="00A60C57"/>
    <w:rsid w:val="00A60D3F"/>
    <w:rsid w:val="00A60FD2"/>
    <w:rsid w:val="00A614AD"/>
    <w:rsid w:val="00A617A2"/>
    <w:rsid w:val="00A61BBA"/>
    <w:rsid w:val="00A61C44"/>
    <w:rsid w:val="00A620B1"/>
    <w:rsid w:val="00A620D5"/>
    <w:rsid w:val="00A62122"/>
    <w:rsid w:val="00A6220C"/>
    <w:rsid w:val="00A623FD"/>
    <w:rsid w:val="00A62400"/>
    <w:rsid w:val="00A6247B"/>
    <w:rsid w:val="00A62551"/>
    <w:rsid w:val="00A62714"/>
    <w:rsid w:val="00A629F4"/>
    <w:rsid w:val="00A62CFF"/>
    <w:rsid w:val="00A62E6A"/>
    <w:rsid w:val="00A63108"/>
    <w:rsid w:val="00A6324D"/>
    <w:rsid w:val="00A6360B"/>
    <w:rsid w:val="00A63642"/>
    <w:rsid w:val="00A63754"/>
    <w:rsid w:val="00A637C8"/>
    <w:rsid w:val="00A63AAB"/>
    <w:rsid w:val="00A63F0B"/>
    <w:rsid w:val="00A64129"/>
    <w:rsid w:val="00A6413C"/>
    <w:rsid w:val="00A64198"/>
    <w:rsid w:val="00A6427D"/>
    <w:rsid w:val="00A64355"/>
    <w:rsid w:val="00A64709"/>
    <w:rsid w:val="00A64745"/>
    <w:rsid w:val="00A648A5"/>
    <w:rsid w:val="00A64BC5"/>
    <w:rsid w:val="00A651C1"/>
    <w:rsid w:val="00A651CE"/>
    <w:rsid w:val="00A6520C"/>
    <w:rsid w:val="00A65215"/>
    <w:rsid w:val="00A6521F"/>
    <w:rsid w:val="00A65236"/>
    <w:rsid w:val="00A653B5"/>
    <w:rsid w:val="00A65437"/>
    <w:rsid w:val="00A657B5"/>
    <w:rsid w:val="00A65902"/>
    <w:rsid w:val="00A65903"/>
    <w:rsid w:val="00A65B0B"/>
    <w:rsid w:val="00A65BA4"/>
    <w:rsid w:val="00A65DDC"/>
    <w:rsid w:val="00A65E1A"/>
    <w:rsid w:val="00A66003"/>
    <w:rsid w:val="00A6645E"/>
    <w:rsid w:val="00A6649A"/>
    <w:rsid w:val="00A66587"/>
    <w:rsid w:val="00A66A9C"/>
    <w:rsid w:val="00A66B02"/>
    <w:rsid w:val="00A66B50"/>
    <w:rsid w:val="00A66BBD"/>
    <w:rsid w:val="00A66E09"/>
    <w:rsid w:val="00A66E82"/>
    <w:rsid w:val="00A66F33"/>
    <w:rsid w:val="00A66F3F"/>
    <w:rsid w:val="00A6726F"/>
    <w:rsid w:val="00A674B9"/>
    <w:rsid w:val="00A678BF"/>
    <w:rsid w:val="00A67B94"/>
    <w:rsid w:val="00A67D69"/>
    <w:rsid w:val="00A67DB2"/>
    <w:rsid w:val="00A67DCE"/>
    <w:rsid w:val="00A67E70"/>
    <w:rsid w:val="00A67E8A"/>
    <w:rsid w:val="00A70302"/>
    <w:rsid w:val="00A70304"/>
    <w:rsid w:val="00A706DB"/>
    <w:rsid w:val="00A707CF"/>
    <w:rsid w:val="00A7089D"/>
    <w:rsid w:val="00A70BB7"/>
    <w:rsid w:val="00A70F00"/>
    <w:rsid w:val="00A71285"/>
    <w:rsid w:val="00A713A8"/>
    <w:rsid w:val="00A71404"/>
    <w:rsid w:val="00A7145E"/>
    <w:rsid w:val="00A714ED"/>
    <w:rsid w:val="00A7158F"/>
    <w:rsid w:val="00A71615"/>
    <w:rsid w:val="00A716C5"/>
    <w:rsid w:val="00A717A0"/>
    <w:rsid w:val="00A7192E"/>
    <w:rsid w:val="00A71A2C"/>
    <w:rsid w:val="00A71B10"/>
    <w:rsid w:val="00A71C59"/>
    <w:rsid w:val="00A71D33"/>
    <w:rsid w:val="00A71D97"/>
    <w:rsid w:val="00A71F64"/>
    <w:rsid w:val="00A7222D"/>
    <w:rsid w:val="00A723F6"/>
    <w:rsid w:val="00A72651"/>
    <w:rsid w:val="00A726BE"/>
    <w:rsid w:val="00A727AC"/>
    <w:rsid w:val="00A72870"/>
    <w:rsid w:val="00A72932"/>
    <w:rsid w:val="00A72D69"/>
    <w:rsid w:val="00A72F39"/>
    <w:rsid w:val="00A7309A"/>
    <w:rsid w:val="00A730C4"/>
    <w:rsid w:val="00A73114"/>
    <w:rsid w:val="00A7360A"/>
    <w:rsid w:val="00A73BC1"/>
    <w:rsid w:val="00A73DBF"/>
    <w:rsid w:val="00A73E09"/>
    <w:rsid w:val="00A73EB9"/>
    <w:rsid w:val="00A73FCB"/>
    <w:rsid w:val="00A74321"/>
    <w:rsid w:val="00A748AB"/>
    <w:rsid w:val="00A74A11"/>
    <w:rsid w:val="00A74A39"/>
    <w:rsid w:val="00A74AA0"/>
    <w:rsid w:val="00A74BC8"/>
    <w:rsid w:val="00A751E9"/>
    <w:rsid w:val="00A75323"/>
    <w:rsid w:val="00A753B8"/>
    <w:rsid w:val="00A7542B"/>
    <w:rsid w:val="00A757D9"/>
    <w:rsid w:val="00A759BC"/>
    <w:rsid w:val="00A759DC"/>
    <w:rsid w:val="00A75D51"/>
    <w:rsid w:val="00A760AD"/>
    <w:rsid w:val="00A760D3"/>
    <w:rsid w:val="00A76296"/>
    <w:rsid w:val="00A7665C"/>
    <w:rsid w:val="00A767D3"/>
    <w:rsid w:val="00A7689E"/>
    <w:rsid w:val="00A76938"/>
    <w:rsid w:val="00A76C31"/>
    <w:rsid w:val="00A76CED"/>
    <w:rsid w:val="00A76FD2"/>
    <w:rsid w:val="00A770B7"/>
    <w:rsid w:val="00A7735F"/>
    <w:rsid w:val="00A77394"/>
    <w:rsid w:val="00A7755F"/>
    <w:rsid w:val="00A77604"/>
    <w:rsid w:val="00A7762E"/>
    <w:rsid w:val="00A7766F"/>
    <w:rsid w:val="00A77976"/>
    <w:rsid w:val="00A77A0D"/>
    <w:rsid w:val="00A77CF8"/>
    <w:rsid w:val="00A80147"/>
    <w:rsid w:val="00A804A4"/>
    <w:rsid w:val="00A804CD"/>
    <w:rsid w:val="00A805D2"/>
    <w:rsid w:val="00A80724"/>
    <w:rsid w:val="00A80AE0"/>
    <w:rsid w:val="00A80B59"/>
    <w:rsid w:val="00A80C41"/>
    <w:rsid w:val="00A81000"/>
    <w:rsid w:val="00A81050"/>
    <w:rsid w:val="00A811C4"/>
    <w:rsid w:val="00A811F0"/>
    <w:rsid w:val="00A81339"/>
    <w:rsid w:val="00A816D9"/>
    <w:rsid w:val="00A817CC"/>
    <w:rsid w:val="00A81E01"/>
    <w:rsid w:val="00A81E97"/>
    <w:rsid w:val="00A81FA6"/>
    <w:rsid w:val="00A81FED"/>
    <w:rsid w:val="00A8205F"/>
    <w:rsid w:val="00A82112"/>
    <w:rsid w:val="00A82214"/>
    <w:rsid w:val="00A82257"/>
    <w:rsid w:val="00A82671"/>
    <w:rsid w:val="00A826C1"/>
    <w:rsid w:val="00A82841"/>
    <w:rsid w:val="00A8290D"/>
    <w:rsid w:val="00A829CC"/>
    <w:rsid w:val="00A82CC7"/>
    <w:rsid w:val="00A82F27"/>
    <w:rsid w:val="00A82FFB"/>
    <w:rsid w:val="00A835CA"/>
    <w:rsid w:val="00A837A8"/>
    <w:rsid w:val="00A839B2"/>
    <w:rsid w:val="00A83A6D"/>
    <w:rsid w:val="00A83AC5"/>
    <w:rsid w:val="00A83C09"/>
    <w:rsid w:val="00A83C71"/>
    <w:rsid w:val="00A83C7D"/>
    <w:rsid w:val="00A83CC6"/>
    <w:rsid w:val="00A83E2A"/>
    <w:rsid w:val="00A83F10"/>
    <w:rsid w:val="00A8406D"/>
    <w:rsid w:val="00A84149"/>
    <w:rsid w:val="00A84308"/>
    <w:rsid w:val="00A84334"/>
    <w:rsid w:val="00A84456"/>
    <w:rsid w:val="00A845EF"/>
    <w:rsid w:val="00A847A6"/>
    <w:rsid w:val="00A84914"/>
    <w:rsid w:val="00A849E3"/>
    <w:rsid w:val="00A84A65"/>
    <w:rsid w:val="00A84B34"/>
    <w:rsid w:val="00A84BCB"/>
    <w:rsid w:val="00A84C36"/>
    <w:rsid w:val="00A84DA3"/>
    <w:rsid w:val="00A84F53"/>
    <w:rsid w:val="00A84FFD"/>
    <w:rsid w:val="00A85215"/>
    <w:rsid w:val="00A8584C"/>
    <w:rsid w:val="00A8588F"/>
    <w:rsid w:val="00A85C10"/>
    <w:rsid w:val="00A86002"/>
    <w:rsid w:val="00A86124"/>
    <w:rsid w:val="00A861ED"/>
    <w:rsid w:val="00A8620D"/>
    <w:rsid w:val="00A8627A"/>
    <w:rsid w:val="00A8681A"/>
    <w:rsid w:val="00A86894"/>
    <w:rsid w:val="00A86A01"/>
    <w:rsid w:val="00A86EC9"/>
    <w:rsid w:val="00A86F7D"/>
    <w:rsid w:val="00A8712A"/>
    <w:rsid w:val="00A87156"/>
    <w:rsid w:val="00A874E6"/>
    <w:rsid w:val="00A87564"/>
    <w:rsid w:val="00A8792D"/>
    <w:rsid w:val="00A8798F"/>
    <w:rsid w:val="00A87C0A"/>
    <w:rsid w:val="00A87C3C"/>
    <w:rsid w:val="00A87F23"/>
    <w:rsid w:val="00A902BA"/>
    <w:rsid w:val="00A905E3"/>
    <w:rsid w:val="00A9082C"/>
    <w:rsid w:val="00A90FFA"/>
    <w:rsid w:val="00A911AB"/>
    <w:rsid w:val="00A913BF"/>
    <w:rsid w:val="00A913E9"/>
    <w:rsid w:val="00A9145A"/>
    <w:rsid w:val="00A914C0"/>
    <w:rsid w:val="00A9170A"/>
    <w:rsid w:val="00A9181F"/>
    <w:rsid w:val="00A91CE8"/>
    <w:rsid w:val="00A92236"/>
    <w:rsid w:val="00A92260"/>
    <w:rsid w:val="00A92324"/>
    <w:rsid w:val="00A923CC"/>
    <w:rsid w:val="00A924EE"/>
    <w:rsid w:val="00A924FE"/>
    <w:rsid w:val="00A92874"/>
    <w:rsid w:val="00A92998"/>
    <w:rsid w:val="00A92A65"/>
    <w:rsid w:val="00A92A69"/>
    <w:rsid w:val="00A92A88"/>
    <w:rsid w:val="00A92D49"/>
    <w:rsid w:val="00A92DE9"/>
    <w:rsid w:val="00A93261"/>
    <w:rsid w:val="00A93371"/>
    <w:rsid w:val="00A9356A"/>
    <w:rsid w:val="00A93702"/>
    <w:rsid w:val="00A93A48"/>
    <w:rsid w:val="00A93A57"/>
    <w:rsid w:val="00A93F0C"/>
    <w:rsid w:val="00A93FF6"/>
    <w:rsid w:val="00A9401A"/>
    <w:rsid w:val="00A94065"/>
    <w:rsid w:val="00A940E5"/>
    <w:rsid w:val="00A9438C"/>
    <w:rsid w:val="00A94BC4"/>
    <w:rsid w:val="00A94D31"/>
    <w:rsid w:val="00A94D5B"/>
    <w:rsid w:val="00A95118"/>
    <w:rsid w:val="00A952E7"/>
    <w:rsid w:val="00A9568E"/>
    <w:rsid w:val="00A95830"/>
    <w:rsid w:val="00A9592A"/>
    <w:rsid w:val="00A95B81"/>
    <w:rsid w:val="00A95F78"/>
    <w:rsid w:val="00A95F7A"/>
    <w:rsid w:val="00A96069"/>
    <w:rsid w:val="00A960C5"/>
    <w:rsid w:val="00A9611C"/>
    <w:rsid w:val="00A96232"/>
    <w:rsid w:val="00A9652D"/>
    <w:rsid w:val="00A96650"/>
    <w:rsid w:val="00A9689A"/>
    <w:rsid w:val="00A96A56"/>
    <w:rsid w:val="00A97217"/>
    <w:rsid w:val="00A97356"/>
    <w:rsid w:val="00A9736F"/>
    <w:rsid w:val="00A9762C"/>
    <w:rsid w:val="00A97700"/>
    <w:rsid w:val="00A97943"/>
    <w:rsid w:val="00A97BED"/>
    <w:rsid w:val="00AA00F5"/>
    <w:rsid w:val="00AA02C5"/>
    <w:rsid w:val="00AA0377"/>
    <w:rsid w:val="00AA04CF"/>
    <w:rsid w:val="00AA0589"/>
    <w:rsid w:val="00AA0638"/>
    <w:rsid w:val="00AA0740"/>
    <w:rsid w:val="00AA0BAD"/>
    <w:rsid w:val="00AA0D1A"/>
    <w:rsid w:val="00AA0D4A"/>
    <w:rsid w:val="00AA11B9"/>
    <w:rsid w:val="00AA12E3"/>
    <w:rsid w:val="00AA1374"/>
    <w:rsid w:val="00AA1383"/>
    <w:rsid w:val="00AA1AC3"/>
    <w:rsid w:val="00AA1C0F"/>
    <w:rsid w:val="00AA1D2F"/>
    <w:rsid w:val="00AA1E64"/>
    <w:rsid w:val="00AA234E"/>
    <w:rsid w:val="00AA2489"/>
    <w:rsid w:val="00AA2918"/>
    <w:rsid w:val="00AA29DC"/>
    <w:rsid w:val="00AA29F1"/>
    <w:rsid w:val="00AA2A85"/>
    <w:rsid w:val="00AA2AA4"/>
    <w:rsid w:val="00AA2D16"/>
    <w:rsid w:val="00AA2F62"/>
    <w:rsid w:val="00AA2FB0"/>
    <w:rsid w:val="00AA3023"/>
    <w:rsid w:val="00AA30BD"/>
    <w:rsid w:val="00AA3218"/>
    <w:rsid w:val="00AA349D"/>
    <w:rsid w:val="00AA3699"/>
    <w:rsid w:val="00AA378F"/>
    <w:rsid w:val="00AA37AC"/>
    <w:rsid w:val="00AA3B64"/>
    <w:rsid w:val="00AA3D0C"/>
    <w:rsid w:val="00AA3DE1"/>
    <w:rsid w:val="00AA3FBB"/>
    <w:rsid w:val="00AA4232"/>
    <w:rsid w:val="00AA4432"/>
    <w:rsid w:val="00AA444F"/>
    <w:rsid w:val="00AA46D8"/>
    <w:rsid w:val="00AA485C"/>
    <w:rsid w:val="00AA4A1C"/>
    <w:rsid w:val="00AA4F12"/>
    <w:rsid w:val="00AA5011"/>
    <w:rsid w:val="00AA5138"/>
    <w:rsid w:val="00AA533F"/>
    <w:rsid w:val="00AA5422"/>
    <w:rsid w:val="00AA54F5"/>
    <w:rsid w:val="00AA56CA"/>
    <w:rsid w:val="00AA5B16"/>
    <w:rsid w:val="00AA5C6F"/>
    <w:rsid w:val="00AA5C87"/>
    <w:rsid w:val="00AA5CBA"/>
    <w:rsid w:val="00AA5CDC"/>
    <w:rsid w:val="00AA5DDA"/>
    <w:rsid w:val="00AA6005"/>
    <w:rsid w:val="00AA60BD"/>
    <w:rsid w:val="00AA6397"/>
    <w:rsid w:val="00AA643E"/>
    <w:rsid w:val="00AA6705"/>
    <w:rsid w:val="00AA68A0"/>
    <w:rsid w:val="00AA6D72"/>
    <w:rsid w:val="00AA6E7D"/>
    <w:rsid w:val="00AA7064"/>
    <w:rsid w:val="00AA743F"/>
    <w:rsid w:val="00AA7627"/>
    <w:rsid w:val="00AA7976"/>
    <w:rsid w:val="00AA79D1"/>
    <w:rsid w:val="00AA7B1D"/>
    <w:rsid w:val="00AA7EE6"/>
    <w:rsid w:val="00AB0106"/>
    <w:rsid w:val="00AB0167"/>
    <w:rsid w:val="00AB01E4"/>
    <w:rsid w:val="00AB021A"/>
    <w:rsid w:val="00AB03B3"/>
    <w:rsid w:val="00AB0514"/>
    <w:rsid w:val="00AB0687"/>
    <w:rsid w:val="00AB098D"/>
    <w:rsid w:val="00AB0AD1"/>
    <w:rsid w:val="00AB0B01"/>
    <w:rsid w:val="00AB0CA7"/>
    <w:rsid w:val="00AB0CDB"/>
    <w:rsid w:val="00AB0E28"/>
    <w:rsid w:val="00AB0F66"/>
    <w:rsid w:val="00AB1284"/>
    <w:rsid w:val="00AB14F6"/>
    <w:rsid w:val="00AB188F"/>
    <w:rsid w:val="00AB1973"/>
    <w:rsid w:val="00AB1A64"/>
    <w:rsid w:val="00AB223F"/>
    <w:rsid w:val="00AB2317"/>
    <w:rsid w:val="00AB2326"/>
    <w:rsid w:val="00AB2351"/>
    <w:rsid w:val="00AB2787"/>
    <w:rsid w:val="00AB2B55"/>
    <w:rsid w:val="00AB2BBE"/>
    <w:rsid w:val="00AB2BC6"/>
    <w:rsid w:val="00AB2EF7"/>
    <w:rsid w:val="00AB2F9E"/>
    <w:rsid w:val="00AB3270"/>
    <w:rsid w:val="00AB36B7"/>
    <w:rsid w:val="00AB36FD"/>
    <w:rsid w:val="00AB39FD"/>
    <w:rsid w:val="00AB3D8C"/>
    <w:rsid w:val="00AB3E55"/>
    <w:rsid w:val="00AB3E77"/>
    <w:rsid w:val="00AB3F91"/>
    <w:rsid w:val="00AB495D"/>
    <w:rsid w:val="00AB4D5B"/>
    <w:rsid w:val="00AB4DE9"/>
    <w:rsid w:val="00AB508B"/>
    <w:rsid w:val="00AB508E"/>
    <w:rsid w:val="00AB51BE"/>
    <w:rsid w:val="00AB5558"/>
    <w:rsid w:val="00AB5767"/>
    <w:rsid w:val="00AB5871"/>
    <w:rsid w:val="00AB58A4"/>
    <w:rsid w:val="00AB5914"/>
    <w:rsid w:val="00AB5946"/>
    <w:rsid w:val="00AB5A27"/>
    <w:rsid w:val="00AB5DF1"/>
    <w:rsid w:val="00AB5EC4"/>
    <w:rsid w:val="00AB5FDE"/>
    <w:rsid w:val="00AB60D2"/>
    <w:rsid w:val="00AB623C"/>
    <w:rsid w:val="00AB6A6F"/>
    <w:rsid w:val="00AB6BFB"/>
    <w:rsid w:val="00AB6DB8"/>
    <w:rsid w:val="00AB713D"/>
    <w:rsid w:val="00AB71B4"/>
    <w:rsid w:val="00AB74D3"/>
    <w:rsid w:val="00AB7CE6"/>
    <w:rsid w:val="00AB7E7C"/>
    <w:rsid w:val="00AC0150"/>
    <w:rsid w:val="00AC04B4"/>
    <w:rsid w:val="00AC0578"/>
    <w:rsid w:val="00AC086D"/>
    <w:rsid w:val="00AC0874"/>
    <w:rsid w:val="00AC0BA1"/>
    <w:rsid w:val="00AC0C8D"/>
    <w:rsid w:val="00AC0F99"/>
    <w:rsid w:val="00AC100D"/>
    <w:rsid w:val="00AC1077"/>
    <w:rsid w:val="00AC11C3"/>
    <w:rsid w:val="00AC1267"/>
    <w:rsid w:val="00AC143C"/>
    <w:rsid w:val="00AC15CB"/>
    <w:rsid w:val="00AC16D2"/>
    <w:rsid w:val="00AC1757"/>
    <w:rsid w:val="00AC1B14"/>
    <w:rsid w:val="00AC1B95"/>
    <w:rsid w:val="00AC1CFC"/>
    <w:rsid w:val="00AC1DDB"/>
    <w:rsid w:val="00AC1E28"/>
    <w:rsid w:val="00AC1F47"/>
    <w:rsid w:val="00AC1F8F"/>
    <w:rsid w:val="00AC2055"/>
    <w:rsid w:val="00AC26E3"/>
    <w:rsid w:val="00AC276F"/>
    <w:rsid w:val="00AC2955"/>
    <w:rsid w:val="00AC29E2"/>
    <w:rsid w:val="00AC2A1E"/>
    <w:rsid w:val="00AC2ACB"/>
    <w:rsid w:val="00AC2F0A"/>
    <w:rsid w:val="00AC307F"/>
    <w:rsid w:val="00AC313B"/>
    <w:rsid w:val="00AC3459"/>
    <w:rsid w:val="00AC34B2"/>
    <w:rsid w:val="00AC3534"/>
    <w:rsid w:val="00AC35AB"/>
    <w:rsid w:val="00AC38C4"/>
    <w:rsid w:val="00AC38F5"/>
    <w:rsid w:val="00AC3960"/>
    <w:rsid w:val="00AC39D9"/>
    <w:rsid w:val="00AC39DC"/>
    <w:rsid w:val="00AC3D77"/>
    <w:rsid w:val="00AC3E41"/>
    <w:rsid w:val="00AC3F34"/>
    <w:rsid w:val="00AC4052"/>
    <w:rsid w:val="00AC40E4"/>
    <w:rsid w:val="00AC4170"/>
    <w:rsid w:val="00AC419F"/>
    <w:rsid w:val="00AC41C2"/>
    <w:rsid w:val="00AC428E"/>
    <w:rsid w:val="00AC42D5"/>
    <w:rsid w:val="00AC4487"/>
    <w:rsid w:val="00AC44DA"/>
    <w:rsid w:val="00AC45FE"/>
    <w:rsid w:val="00AC4737"/>
    <w:rsid w:val="00AC4945"/>
    <w:rsid w:val="00AC4980"/>
    <w:rsid w:val="00AC4AEC"/>
    <w:rsid w:val="00AC4B70"/>
    <w:rsid w:val="00AC4D69"/>
    <w:rsid w:val="00AC5331"/>
    <w:rsid w:val="00AC5386"/>
    <w:rsid w:val="00AC546A"/>
    <w:rsid w:val="00AC572B"/>
    <w:rsid w:val="00AC5877"/>
    <w:rsid w:val="00AC59B8"/>
    <w:rsid w:val="00AC59DC"/>
    <w:rsid w:val="00AC5A46"/>
    <w:rsid w:val="00AC5AB5"/>
    <w:rsid w:val="00AC5D11"/>
    <w:rsid w:val="00AC5D62"/>
    <w:rsid w:val="00AC5E49"/>
    <w:rsid w:val="00AC6008"/>
    <w:rsid w:val="00AC6068"/>
    <w:rsid w:val="00AC646A"/>
    <w:rsid w:val="00AC67F0"/>
    <w:rsid w:val="00AC6B33"/>
    <w:rsid w:val="00AC6B40"/>
    <w:rsid w:val="00AC6D30"/>
    <w:rsid w:val="00AC6DE4"/>
    <w:rsid w:val="00AC6E32"/>
    <w:rsid w:val="00AC6ED3"/>
    <w:rsid w:val="00AC6FCE"/>
    <w:rsid w:val="00AC7026"/>
    <w:rsid w:val="00AC711B"/>
    <w:rsid w:val="00AC712A"/>
    <w:rsid w:val="00AC7183"/>
    <w:rsid w:val="00AC7283"/>
    <w:rsid w:val="00AC75D1"/>
    <w:rsid w:val="00AC76CF"/>
    <w:rsid w:val="00AC7827"/>
    <w:rsid w:val="00AC78AE"/>
    <w:rsid w:val="00AC78D9"/>
    <w:rsid w:val="00AC7A2E"/>
    <w:rsid w:val="00AC7C17"/>
    <w:rsid w:val="00AC7C8C"/>
    <w:rsid w:val="00AC7D26"/>
    <w:rsid w:val="00AC7F79"/>
    <w:rsid w:val="00AD02D3"/>
    <w:rsid w:val="00AD0448"/>
    <w:rsid w:val="00AD088F"/>
    <w:rsid w:val="00AD0A49"/>
    <w:rsid w:val="00AD0C29"/>
    <w:rsid w:val="00AD1412"/>
    <w:rsid w:val="00AD1566"/>
    <w:rsid w:val="00AD15D3"/>
    <w:rsid w:val="00AD1878"/>
    <w:rsid w:val="00AD18BF"/>
    <w:rsid w:val="00AD1939"/>
    <w:rsid w:val="00AD199E"/>
    <w:rsid w:val="00AD1BA6"/>
    <w:rsid w:val="00AD1BAE"/>
    <w:rsid w:val="00AD1CDF"/>
    <w:rsid w:val="00AD1D13"/>
    <w:rsid w:val="00AD1EFC"/>
    <w:rsid w:val="00AD2117"/>
    <w:rsid w:val="00AD222B"/>
    <w:rsid w:val="00AD22D7"/>
    <w:rsid w:val="00AD2544"/>
    <w:rsid w:val="00AD2567"/>
    <w:rsid w:val="00AD2568"/>
    <w:rsid w:val="00AD26F7"/>
    <w:rsid w:val="00AD27F5"/>
    <w:rsid w:val="00AD27FC"/>
    <w:rsid w:val="00AD2825"/>
    <w:rsid w:val="00AD2850"/>
    <w:rsid w:val="00AD2A78"/>
    <w:rsid w:val="00AD2AEC"/>
    <w:rsid w:val="00AD2BCB"/>
    <w:rsid w:val="00AD31C4"/>
    <w:rsid w:val="00AD32BF"/>
    <w:rsid w:val="00AD342C"/>
    <w:rsid w:val="00AD34F5"/>
    <w:rsid w:val="00AD3802"/>
    <w:rsid w:val="00AD3C89"/>
    <w:rsid w:val="00AD3D58"/>
    <w:rsid w:val="00AD3EFA"/>
    <w:rsid w:val="00AD4513"/>
    <w:rsid w:val="00AD46E2"/>
    <w:rsid w:val="00AD477C"/>
    <w:rsid w:val="00AD49E4"/>
    <w:rsid w:val="00AD4CFE"/>
    <w:rsid w:val="00AD5050"/>
    <w:rsid w:val="00AD5158"/>
    <w:rsid w:val="00AD5430"/>
    <w:rsid w:val="00AD56E2"/>
    <w:rsid w:val="00AD57B3"/>
    <w:rsid w:val="00AD58D0"/>
    <w:rsid w:val="00AD595D"/>
    <w:rsid w:val="00AD59B3"/>
    <w:rsid w:val="00AD5A41"/>
    <w:rsid w:val="00AD5ADF"/>
    <w:rsid w:val="00AD5D25"/>
    <w:rsid w:val="00AD5DC8"/>
    <w:rsid w:val="00AD5FB6"/>
    <w:rsid w:val="00AD5FDE"/>
    <w:rsid w:val="00AD6103"/>
    <w:rsid w:val="00AD6109"/>
    <w:rsid w:val="00AD6149"/>
    <w:rsid w:val="00AD6218"/>
    <w:rsid w:val="00AD63F9"/>
    <w:rsid w:val="00AD6568"/>
    <w:rsid w:val="00AD657C"/>
    <w:rsid w:val="00AD67DC"/>
    <w:rsid w:val="00AD690E"/>
    <w:rsid w:val="00AD69C1"/>
    <w:rsid w:val="00AD69FE"/>
    <w:rsid w:val="00AD6D98"/>
    <w:rsid w:val="00AD714C"/>
    <w:rsid w:val="00AD7270"/>
    <w:rsid w:val="00AD7296"/>
    <w:rsid w:val="00AD749C"/>
    <w:rsid w:val="00AD7568"/>
    <w:rsid w:val="00AD77EF"/>
    <w:rsid w:val="00AD7909"/>
    <w:rsid w:val="00AD7AD0"/>
    <w:rsid w:val="00AD7B46"/>
    <w:rsid w:val="00AD7EA6"/>
    <w:rsid w:val="00AD7F9E"/>
    <w:rsid w:val="00AE034A"/>
    <w:rsid w:val="00AE03D9"/>
    <w:rsid w:val="00AE0488"/>
    <w:rsid w:val="00AE082D"/>
    <w:rsid w:val="00AE0AB5"/>
    <w:rsid w:val="00AE0DC7"/>
    <w:rsid w:val="00AE0E70"/>
    <w:rsid w:val="00AE0E80"/>
    <w:rsid w:val="00AE11D7"/>
    <w:rsid w:val="00AE1516"/>
    <w:rsid w:val="00AE1917"/>
    <w:rsid w:val="00AE1B62"/>
    <w:rsid w:val="00AE1BC1"/>
    <w:rsid w:val="00AE1D9C"/>
    <w:rsid w:val="00AE1FF4"/>
    <w:rsid w:val="00AE2431"/>
    <w:rsid w:val="00AE246E"/>
    <w:rsid w:val="00AE2643"/>
    <w:rsid w:val="00AE2685"/>
    <w:rsid w:val="00AE271A"/>
    <w:rsid w:val="00AE280C"/>
    <w:rsid w:val="00AE29AD"/>
    <w:rsid w:val="00AE2AE2"/>
    <w:rsid w:val="00AE2F15"/>
    <w:rsid w:val="00AE2F50"/>
    <w:rsid w:val="00AE3154"/>
    <w:rsid w:val="00AE3199"/>
    <w:rsid w:val="00AE31B8"/>
    <w:rsid w:val="00AE32FD"/>
    <w:rsid w:val="00AE34D1"/>
    <w:rsid w:val="00AE3507"/>
    <w:rsid w:val="00AE35E6"/>
    <w:rsid w:val="00AE36DD"/>
    <w:rsid w:val="00AE379C"/>
    <w:rsid w:val="00AE38EF"/>
    <w:rsid w:val="00AE3D4B"/>
    <w:rsid w:val="00AE3FBD"/>
    <w:rsid w:val="00AE417D"/>
    <w:rsid w:val="00AE4190"/>
    <w:rsid w:val="00AE428B"/>
    <w:rsid w:val="00AE4326"/>
    <w:rsid w:val="00AE4565"/>
    <w:rsid w:val="00AE4623"/>
    <w:rsid w:val="00AE475E"/>
    <w:rsid w:val="00AE4764"/>
    <w:rsid w:val="00AE49C4"/>
    <w:rsid w:val="00AE4DAF"/>
    <w:rsid w:val="00AE4EB4"/>
    <w:rsid w:val="00AE517A"/>
    <w:rsid w:val="00AE541B"/>
    <w:rsid w:val="00AE582E"/>
    <w:rsid w:val="00AE59D1"/>
    <w:rsid w:val="00AE5AC4"/>
    <w:rsid w:val="00AE5E34"/>
    <w:rsid w:val="00AE60F3"/>
    <w:rsid w:val="00AE61D4"/>
    <w:rsid w:val="00AE63DD"/>
    <w:rsid w:val="00AE63E0"/>
    <w:rsid w:val="00AE655B"/>
    <w:rsid w:val="00AE6585"/>
    <w:rsid w:val="00AE662E"/>
    <w:rsid w:val="00AE66CA"/>
    <w:rsid w:val="00AE675E"/>
    <w:rsid w:val="00AE67F7"/>
    <w:rsid w:val="00AE6848"/>
    <w:rsid w:val="00AE68D4"/>
    <w:rsid w:val="00AE690F"/>
    <w:rsid w:val="00AE6DFD"/>
    <w:rsid w:val="00AE706A"/>
    <w:rsid w:val="00AE7144"/>
    <w:rsid w:val="00AE7167"/>
    <w:rsid w:val="00AE7183"/>
    <w:rsid w:val="00AE7653"/>
    <w:rsid w:val="00AE76C0"/>
    <w:rsid w:val="00AE7769"/>
    <w:rsid w:val="00AE7825"/>
    <w:rsid w:val="00AE78D4"/>
    <w:rsid w:val="00AE78EC"/>
    <w:rsid w:val="00AE79E2"/>
    <w:rsid w:val="00AE7A7F"/>
    <w:rsid w:val="00AE7BED"/>
    <w:rsid w:val="00AE7C52"/>
    <w:rsid w:val="00AE7E87"/>
    <w:rsid w:val="00AF01FD"/>
    <w:rsid w:val="00AF0243"/>
    <w:rsid w:val="00AF025F"/>
    <w:rsid w:val="00AF03B3"/>
    <w:rsid w:val="00AF0768"/>
    <w:rsid w:val="00AF09E6"/>
    <w:rsid w:val="00AF0A81"/>
    <w:rsid w:val="00AF0D08"/>
    <w:rsid w:val="00AF0D45"/>
    <w:rsid w:val="00AF0EA6"/>
    <w:rsid w:val="00AF101D"/>
    <w:rsid w:val="00AF1141"/>
    <w:rsid w:val="00AF135A"/>
    <w:rsid w:val="00AF138D"/>
    <w:rsid w:val="00AF1394"/>
    <w:rsid w:val="00AF1494"/>
    <w:rsid w:val="00AF17CF"/>
    <w:rsid w:val="00AF18F3"/>
    <w:rsid w:val="00AF1A4C"/>
    <w:rsid w:val="00AF1FE1"/>
    <w:rsid w:val="00AF2269"/>
    <w:rsid w:val="00AF233A"/>
    <w:rsid w:val="00AF243A"/>
    <w:rsid w:val="00AF2532"/>
    <w:rsid w:val="00AF26DE"/>
    <w:rsid w:val="00AF2830"/>
    <w:rsid w:val="00AF287A"/>
    <w:rsid w:val="00AF291A"/>
    <w:rsid w:val="00AF294B"/>
    <w:rsid w:val="00AF2CDC"/>
    <w:rsid w:val="00AF2D4B"/>
    <w:rsid w:val="00AF31A6"/>
    <w:rsid w:val="00AF32FC"/>
    <w:rsid w:val="00AF33DD"/>
    <w:rsid w:val="00AF345F"/>
    <w:rsid w:val="00AF3557"/>
    <w:rsid w:val="00AF3636"/>
    <w:rsid w:val="00AF3653"/>
    <w:rsid w:val="00AF365C"/>
    <w:rsid w:val="00AF3764"/>
    <w:rsid w:val="00AF3783"/>
    <w:rsid w:val="00AF382D"/>
    <w:rsid w:val="00AF3AD3"/>
    <w:rsid w:val="00AF3D4F"/>
    <w:rsid w:val="00AF3F7C"/>
    <w:rsid w:val="00AF407C"/>
    <w:rsid w:val="00AF4378"/>
    <w:rsid w:val="00AF46C4"/>
    <w:rsid w:val="00AF49AE"/>
    <w:rsid w:val="00AF4A36"/>
    <w:rsid w:val="00AF4DF2"/>
    <w:rsid w:val="00AF4EE0"/>
    <w:rsid w:val="00AF506F"/>
    <w:rsid w:val="00AF5077"/>
    <w:rsid w:val="00AF527B"/>
    <w:rsid w:val="00AF55B9"/>
    <w:rsid w:val="00AF5889"/>
    <w:rsid w:val="00AF5C93"/>
    <w:rsid w:val="00AF5CB5"/>
    <w:rsid w:val="00AF648E"/>
    <w:rsid w:val="00AF685B"/>
    <w:rsid w:val="00AF68A2"/>
    <w:rsid w:val="00AF6A11"/>
    <w:rsid w:val="00AF6A59"/>
    <w:rsid w:val="00AF6C3B"/>
    <w:rsid w:val="00AF6DA7"/>
    <w:rsid w:val="00AF7041"/>
    <w:rsid w:val="00AF70AC"/>
    <w:rsid w:val="00AF75EB"/>
    <w:rsid w:val="00AF7709"/>
    <w:rsid w:val="00AF7916"/>
    <w:rsid w:val="00AF7A33"/>
    <w:rsid w:val="00AF7C0C"/>
    <w:rsid w:val="00AF7ECC"/>
    <w:rsid w:val="00AF7FD2"/>
    <w:rsid w:val="00B002CF"/>
    <w:rsid w:val="00B002D1"/>
    <w:rsid w:val="00B00602"/>
    <w:rsid w:val="00B0078C"/>
    <w:rsid w:val="00B00B63"/>
    <w:rsid w:val="00B00C7F"/>
    <w:rsid w:val="00B01166"/>
    <w:rsid w:val="00B0129B"/>
    <w:rsid w:val="00B01803"/>
    <w:rsid w:val="00B0185E"/>
    <w:rsid w:val="00B0189B"/>
    <w:rsid w:val="00B01AAA"/>
    <w:rsid w:val="00B023A8"/>
    <w:rsid w:val="00B0257C"/>
    <w:rsid w:val="00B02736"/>
    <w:rsid w:val="00B0274A"/>
    <w:rsid w:val="00B02849"/>
    <w:rsid w:val="00B028F7"/>
    <w:rsid w:val="00B02A8D"/>
    <w:rsid w:val="00B02BFF"/>
    <w:rsid w:val="00B02E25"/>
    <w:rsid w:val="00B02F8F"/>
    <w:rsid w:val="00B0316F"/>
    <w:rsid w:val="00B03231"/>
    <w:rsid w:val="00B035F7"/>
    <w:rsid w:val="00B03652"/>
    <w:rsid w:val="00B03787"/>
    <w:rsid w:val="00B03D14"/>
    <w:rsid w:val="00B03DA2"/>
    <w:rsid w:val="00B03E60"/>
    <w:rsid w:val="00B040C3"/>
    <w:rsid w:val="00B041D2"/>
    <w:rsid w:val="00B043BD"/>
    <w:rsid w:val="00B04997"/>
    <w:rsid w:val="00B04C95"/>
    <w:rsid w:val="00B05008"/>
    <w:rsid w:val="00B053D0"/>
    <w:rsid w:val="00B05422"/>
    <w:rsid w:val="00B05A35"/>
    <w:rsid w:val="00B05AA8"/>
    <w:rsid w:val="00B05D8C"/>
    <w:rsid w:val="00B05F51"/>
    <w:rsid w:val="00B05FF5"/>
    <w:rsid w:val="00B05FFF"/>
    <w:rsid w:val="00B061A4"/>
    <w:rsid w:val="00B06210"/>
    <w:rsid w:val="00B0652E"/>
    <w:rsid w:val="00B068FC"/>
    <w:rsid w:val="00B06AE4"/>
    <w:rsid w:val="00B06BF2"/>
    <w:rsid w:val="00B06C60"/>
    <w:rsid w:val="00B06E33"/>
    <w:rsid w:val="00B06E61"/>
    <w:rsid w:val="00B06F32"/>
    <w:rsid w:val="00B0704E"/>
    <w:rsid w:val="00B07066"/>
    <w:rsid w:val="00B0721D"/>
    <w:rsid w:val="00B0738F"/>
    <w:rsid w:val="00B07409"/>
    <w:rsid w:val="00B077FB"/>
    <w:rsid w:val="00B0791B"/>
    <w:rsid w:val="00B07B29"/>
    <w:rsid w:val="00B07EED"/>
    <w:rsid w:val="00B102AA"/>
    <w:rsid w:val="00B102F7"/>
    <w:rsid w:val="00B103C1"/>
    <w:rsid w:val="00B103CC"/>
    <w:rsid w:val="00B103E0"/>
    <w:rsid w:val="00B105AA"/>
    <w:rsid w:val="00B108A5"/>
    <w:rsid w:val="00B10986"/>
    <w:rsid w:val="00B10CF8"/>
    <w:rsid w:val="00B10FAD"/>
    <w:rsid w:val="00B10FCE"/>
    <w:rsid w:val="00B11095"/>
    <w:rsid w:val="00B110E6"/>
    <w:rsid w:val="00B1139C"/>
    <w:rsid w:val="00B1145A"/>
    <w:rsid w:val="00B114C6"/>
    <w:rsid w:val="00B114F8"/>
    <w:rsid w:val="00B11844"/>
    <w:rsid w:val="00B11AB5"/>
    <w:rsid w:val="00B11F27"/>
    <w:rsid w:val="00B120A4"/>
    <w:rsid w:val="00B12130"/>
    <w:rsid w:val="00B1244D"/>
    <w:rsid w:val="00B12560"/>
    <w:rsid w:val="00B1266B"/>
    <w:rsid w:val="00B1275C"/>
    <w:rsid w:val="00B1289F"/>
    <w:rsid w:val="00B12A1C"/>
    <w:rsid w:val="00B12B1A"/>
    <w:rsid w:val="00B12C9C"/>
    <w:rsid w:val="00B12D19"/>
    <w:rsid w:val="00B12D20"/>
    <w:rsid w:val="00B12D93"/>
    <w:rsid w:val="00B12E65"/>
    <w:rsid w:val="00B12E7E"/>
    <w:rsid w:val="00B12EAB"/>
    <w:rsid w:val="00B12F44"/>
    <w:rsid w:val="00B12F70"/>
    <w:rsid w:val="00B12FE9"/>
    <w:rsid w:val="00B13057"/>
    <w:rsid w:val="00B1310F"/>
    <w:rsid w:val="00B1314F"/>
    <w:rsid w:val="00B1398A"/>
    <w:rsid w:val="00B13B81"/>
    <w:rsid w:val="00B13BE9"/>
    <w:rsid w:val="00B13D0C"/>
    <w:rsid w:val="00B13F8D"/>
    <w:rsid w:val="00B140A9"/>
    <w:rsid w:val="00B1458D"/>
    <w:rsid w:val="00B145D3"/>
    <w:rsid w:val="00B14630"/>
    <w:rsid w:val="00B14678"/>
    <w:rsid w:val="00B14758"/>
    <w:rsid w:val="00B1477C"/>
    <w:rsid w:val="00B14902"/>
    <w:rsid w:val="00B149BA"/>
    <w:rsid w:val="00B14AC6"/>
    <w:rsid w:val="00B14CC5"/>
    <w:rsid w:val="00B14F31"/>
    <w:rsid w:val="00B14F66"/>
    <w:rsid w:val="00B15351"/>
    <w:rsid w:val="00B15443"/>
    <w:rsid w:val="00B15766"/>
    <w:rsid w:val="00B1587D"/>
    <w:rsid w:val="00B159F2"/>
    <w:rsid w:val="00B15B2C"/>
    <w:rsid w:val="00B15CAC"/>
    <w:rsid w:val="00B15EEB"/>
    <w:rsid w:val="00B1625A"/>
    <w:rsid w:val="00B162FA"/>
    <w:rsid w:val="00B163DB"/>
    <w:rsid w:val="00B1652B"/>
    <w:rsid w:val="00B166CC"/>
    <w:rsid w:val="00B16946"/>
    <w:rsid w:val="00B16BA6"/>
    <w:rsid w:val="00B16C45"/>
    <w:rsid w:val="00B17088"/>
    <w:rsid w:val="00B171B0"/>
    <w:rsid w:val="00B17420"/>
    <w:rsid w:val="00B1756E"/>
    <w:rsid w:val="00B17684"/>
    <w:rsid w:val="00B17910"/>
    <w:rsid w:val="00B17B47"/>
    <w:rsid w:val="00B17B9A"/>
    <w:rsid w:val="00B17C1F"/>
    <w:rsid w:val="00B17D94"/>
    <w:rsid w:val="00B17E26"/>
    <w:rsid w:val="00B20142"/>
    <w:rsid w:val="00B2066C"/>
    <w:rsid w:val="00B207EA"/>
    <w:rsid w:val="00B207FC"/>
    <w:rsid w:val="00B20990"/>
    <w:rsid w:val="00B20FC2"/>
    <w:rsid w:val="00B2134E"/>
    <w:rsid w:val="00B215C3"/>
    <w:rsid w:val="00B217EE"/>
    <w:rsid w:val="00B2186C"/>
    <w:rsid w:val="00B218CA"/>
    <w:rsid w:val="00B218F3"/>
    <w:rsid w:val="00B2194E"/>
    <w:rsid w:val="00B21A49"/>
    <w:rsid w:val="00B21DDC"/>
    <w:rsid w:val="00B21F37"/>
    <w:rsid w:val="00B22076"/>
    <w:rsid w:val="00B220A5"/>
    <w:rsid w:val="00B22A9B"/>
    <w:rsid w:val="00B22EB2"/>
    <w:rsid w:val="00B23145"/>
    <w:rsid w:val="00B236A5"/>
    <w:rsid w:val="00B2372E"/>
    <w:rsid w:val="00B23741"/>
    <w:rsid w:val="00B23860"/>
    <w:rsid w:val="00B23962"/>
    <w:rsid w:val="00B23EAE"/>
    <w:rsid w:val="00B241B9"/>
    <w:rsid w:val="00B24354"/>
    <w:rsid w:val="00B246CA"/>
    <w:rsid w:val="00B246D8"/>
    <w:rsid w:val="00B24AF8"/>
    <w:rsid w:val="00B24E10"/>
    <w:rsid w:val="00B24EA7"/>
    <w:rsid w:val="00B25134"/>
    <w:rsid w:val="00B25216"/>
    <w:rsid w:val="00B255D6"/>
    <w:rsid w:val="00B2583C"/>
    <w:rsid w:val="00B25A28"/>
    <w:rsid w:val="00B25B19"/>
    <w:rsid w:val="00B25D25"/>
    <w:rsid w:val="00B25DAC"/>
    <w:rsid w:val="00B2607A"/>
    <w:rsid w:val="00B260E6"/>
    <w:rsid w:val="00B26378"/>
    <w:rsid w:val="00B26509"/>
    <w:rsid w:val="00B2657B"/>
    <w:rsid w:val="00B26714"/>
    <w:rsid w:val="00B26BDA"/>
    <w:rsid w:val="00B26D3B"/>
    <w:rsid w:val="00B26EE5"/>
    <w:rsid w:val="00B26F6B"/>
    <w:rsid w:val="00B27320"/>
    <w:rsid w:val="00B273F2"/>
    <w:rsid w:val="00B27450"/>
    <w:rsid w:val="00B2761F"/>
    <w:rsid w:val="00B277D9"/>
    <w:rsid w:val="00B27811"/>
    <w:rsid w:val="00B27890"/>
    <w:rsid w:val="00B27B53"/>
    <w:rsid w:val="00B27DA2"/>
    <w:rsid w:val="00B27E2A"/>
    <w:rsid w:val="00B27F13"/>
    <w:rsid w:val="00B30042"/>
    <w:rsid w:val="00B30153"/>
    <w:rsid w:val="00B301AB"/>
    <w:rsid w:val="00B30334"/>
    <w:rsid w:val="00B30368"/>
    <w:rsid w:val="00B303AD"/>
    <w:rsid w:val="00B30475"/>
    <w:rsid w:val="00B304A7"/>
    <w:rsid w:val="00B304D6"/>
    <w:rsid w:val="00B30828"/>
    <w:rsid w:val="00B3095D"/>
    <w:rsid w:val="00B3097C"/>
    <w:rsid w:val="00B30C43"/>
    <w:rsid w:val="00B30CEB"/>
    <w:rsid w:val="00B30ECA"/>
    <w:rsid w:val="00B30FC6"/>
    <w:rsid w:val="00B311BA"/>
    <w:rsid w:val="00B31562"/>
    <w:rsid w:val="00B316E0"/>
    <w:rsid w:val="00B316F2"/>
    <w:rsid w:val="00B31990"/>
    <w:rsid w:val="00B31B47"/>
    <w:rsid w:val="00B31C2B"/>
    <w:rsid w:val="00B31FA6"/>
    <w:rsid w:val="00B320FF"/>
    <w:rsid w:val="00B321F3"/>
    <w:rsid w:val="00B32541"/>
    <w:rsid w:val="00B325F5"/>
    <w:rsid w:val="00B32640"/>
    <w:rsid w:val="00B3275C"/>
    <w:rsid w:val="00B32B00"/>
    <w:rsid w:val="00B32EAE"/>
    <w:rsid w:val="00B33219"/>
    <w:rsid w:val="00B33291"/>
    <w:rsid w:val="00B333EF"/>
    <w:rsid w:val="00B33463"/>
    <w:rsid w:val="00B33535"/>
    <w:rsid w:val="00B33741"/>
    <w:rsid w:val="00B3388E"/>
    <w:rsid w:val="00B33928"/>
    <w:rsid w:val="00B339BD"/>
    <w:rsid w:val="00B33C35"/>
    <w:rsid w:val="00B341EF"/>
    <w:rsid w:val="00B3425E"/>
    <w:rsid w:val="00B34364"/>
    <w:rsid w:val="00B34408"/>
    <w:rsid w:val="00B346E9"/>
    <w:rsid w:val="00B34896"/>
    <w:rsid w:val="00B349A9"/>
    <w:rsid w:val="00B34BDA"/>
    <w:rsid w:val="00B34E67"/>
    <w:rsid w:val="00B35334"/>
    <w:rsid w:val="00B3545C"/>
    <w:rsid w:val="00B35848"/>
    <w:rsid w:val="00B35A33"/>
    <w:rsid w:val="00B35A6D"/>
    <w:rsid w:val="00B35CE6"/>
    <w:rsid w:val="00B35D08"/>
    <w:rsid w:val="00B360A4"/>
    <w:rsid w:val="00B360C9"/>
    <w:rsid w:val="00B36472"/>
    <w:rsid w:val="00B364D7"/>
    <w:rsid w:val="00B368C5"/>
    <w:rsid w:val="00B36E28"/>
    <w:rsid w:val="00B37148"/>
    <w:rsid w:val="00B3717B"/>
    <w:rsid w:val="00B37335"/>
    <w:rsid w:val="00B3751E"/>
    <w:rsid w:val="00B37581"/>
    <w:rsid w:val="00B376DB"/>
    <w:rsid w:val="00B37725"/>
    <w:rsid w:val="00B37779"/>
    <w:rsid w:val="00B37893"/>
    <w:rsid w:val="00B37AEC"/>
    <w:rsid w:val="00B37C2B"/>
    <w:rsid w:val="00B37CC3"/>
    <w:rsid w:val="00B37D64"/>
    <w:rsid w:val="00B37DB3"/>
    <w:rsid w:val="00B37EDB"/>
    <w:rsid w:val="00B4012A"/>
    <w:rsid w:val="00B40228"/>
    <w:rsid w:val="00B40292"/>
    <w:rsid w:val="00B402AD"/>
    <w:rsid w:val="00B404A5"/>
    <w:rsid w:val="00B4063F"/>
    <w:rsid w:val="00B407FC"/>
    <w:rsid w:val="00B408A5"/>
    <w:rsid w:val="00B40921"/>
    <w:rsid w:val="00B40A24"/>
    <w:rsid w:val="00B40B71"/>
    <w:rsid w:val="00B40C87"/>
    <w:rsid w:val="00B40E69"/>
    <w:rsid w:val="00B410B5"/>
    <w:rsid w:val="00B41199"/>
    <w:rsid w:val="00B411D7"/>
    <w:rsid w:val="00B41238"/>
    <w:rsid w:val="00B416F1"/>
    <w:rsid w:val="00B41B72"/>
    <w:rsid w:val="00B41E5E"/>
    <w:rsid w:val="00B422CD"/>
    <w:rsid w:val="00B4250C"/>
    <w:rsid w:val="00B42620"/>
    <w:rsid w:val="00B42CD8"/>
    <w:rsid w:val="00B42D52"/>
    <w:rsid w:val="00B42DA8"/>
    <w:rsid w:val="00B43490"/>
    <w:rsid w:val="00B43829"/>
    <w:rsid w:val="00B43AD0"/>
    <w:rsid w:val="00B43B85"/>
    <w:rsid w:val="00B4405A"/>
    <w:rsid w:val="00B4413D"/>
    <w:rsid w:val="00B44282"/>
    <w:rsid w:val="00B444FD"/>
    <w:rsid w:val="00B44618"/>
    <w:rsid w:val="00B4486D"/>
    <w:rsid w:val="00B448F9"/>
    <w:rsid w:val="00B4490B"/>
    <w:rsid w:val="00B44A90"/>
    <w:rsid w:val="00B44C82"/>
    <w:rsid w:val="00B44F31"/>
    <w:rsid w:val="00B44F3B"/>
    <w:rsid w:val="00B45074"/>
    <w:rsid w:val="00B45298"/>
    <w:rsid w:val="00B454AE"/>
    <w:rsid w:val="00B454BF"/>
    <w:rsid w:val="00B4559C"/>
    <w:rsid w:val="00B45808"/>
    <w:rsid w:val="00B458FA"/>
    <w:rsid w:val="00B45D1C"/>
    <w:rsid w:val="00B45E70"/>
    <w:rsid w:val="00B45E77"/>
    <w:rsid w:val="00B45F98"/>
    <w:rsid w:val="00B45FD4"/>
    <w:rsid w:val="00B46128"/>
    <w:rsid w:val="00B461BC"/>
    <w:rsid w:val="00B46227"/>
    <w:rsid w:val="00B46495"/>
    <w:rsid w:val="00B46508"/>
    <w:rsid w:val="00B466FF"/>
    <w:rsid w:val="00B4676E"/>
    <w:rsid w:val="00B46961"/>
    <w:rsid w:val="00B46A5A"/>
    <w:rsid w:val="00B46A6A"/>
    <w:rsid w:val="00B46F64"/>
    <w:rsid w:val="00B47045"/>
    <w:rsid w:val="00B472C9"/>
    <w:rsid w:val="00B4772D"/>
    <w:rsid w:val="00B4786B"/>
    <w:rsid w:val="00B479F2"/>
    <w:rsid w:val="00B479F5"/>
    <w:rsid w:val="00B47DB2"/>
    <w:rsid w:val="00B50047"/>
    <w:rsid w:val="00B504B3"/>
    <w:rsid w:val="00B504EA"/>
    <w:rsid w:val="00B50537"/>
    <w:rsid w:val="00B505E4"/>
    <w:rsid w:val="00B50672"/>
    <w:rsid w:val="00B50829"/>
    <w:rsid w:val="00B50A14"/>
    <w:rsid w:val="00B50AD3"/>
    <w:rsid w:val="00B510B6"/>
    <w:rsid w:val="00B513F7"/>
    <w:rsid w:val="00B51506"/>
    <w:rsid w:val="00B5169D"/>
    <w:rsid w:val="00B51838"/>
    <w:rsid w:val="00B51897"/>
    <w:rsid w:val="00B51B16"/>
    <w:rsid w:val="00B51B4F"/>
    <w:rsid w:val="00B5236D"/>
    <w:rsid w:val="00B523EA"/>
    <w:rsid w:val="00B52566"/>
    <w:rsid w:val="00B525DF"/>
    <w:rsid w:val="00B52617"/>
    <w:rsid w:val="00B52798"/>
    <w:rsid w:val="00B52970"/>
    <w:rsid w:val="00B52B5C"/>
    <w:rsid w:val="00B52C31"/>
    <w:rsid w:val="00B52DBE"/>
    <w:rsid w:val="00B52EB0"/>
    <w:rsid w:val="00B530F2"/>
    <w:rsid w:val="00B531AA"/>
    <w:rsid w:val="00B53BC8"/>
    <w:rsid w:val="00B53F7B"/>
    <w:rsid w:val="00B53F84"/>
    <w:rsid w:val="00B53FF0"/>
    <w:rsid w:val="00B541F2"/>
    <w:rsid w:val="00B541F6"/>
    <w:rsid w:val="00B542F4"/>
    <w:rsid w:val="00B546F1"/>
    <w:rsid w:val="00B54731"/>
    <w:rsid w:val="00B5496F"/>
    <w:rsid w:val="00B54A73"/>
    <w:rsid w:val="00B54B2C"/>
    <w:rsid w:val="00B54CE5"/>
    <w:rsid w:val="00B54F1A"/>
    <w:rsid w:val="00B54FAC"/>
    <w:rsid w:val="00B552A2"/>
    <w:rsid w:val="00B55892"/>
    <w:rsid w:val="00B55A85"/>
    <w:rsid w:val="00B55B1B"/>
    <w:rsid w:val="00B55C75"/>
    <w:rsid w:val="00B55D4A"/>
    <w:rsid w:val="00B55E89"/>
    <w:rsid w:val="00B55F65"/>
    <w:rsid w:val="00B5609D"/>
    <w:rsid w:val="00B56178"/>
    <w:rsid w:val="00B56435"/>
    <w:rsid w:val="00B567DB"/>
    <w:rsid w:val="00B56884"/>
    <w:rsid w:val="00B568CB"/>
    <w:rsid w:val="00B56EA1"/>
    <w:rsid w:val="00B56FDA"/>
    <w:rsid w:val="00B570D5"/>
    <w:rsid w:val="00B57264"/>
    <w:rsid w:val="00B574E3"/>
    <w:rsid w:val="00B57644"/>
    <w:rsid w:val="00B57780"/>
    <w:rsid w:val="00B578A2"/>
    <w:rsid w:val="00B57A0C"/>
    <w:rsid w:val="00B57A17"/>
    <w:rsid w:val="00B57A97"/>
    <w:rsid w:val="00B57B16"/>
    <w:rsid w:val="00B57D93"/>
    <w:rsid w:val="00B57ECB"/>
    <w:rsid w:val="00B60060"/>
    <w:rsid w:val="00B60086"/>
    <w:rsid w:val="00B603B7"/>
    <w:rsid w:val="00B60453"/>
    <w:rsid w:val="00B605A5"/>
    <w:rsid w:val="00B605E3"/>
    <w:rsid w:val="00B6084C"/>
    <w:rsid w:val="00B608BE"/>
    <w:rsid w:val="00B60ADB"/>
    <w:rsid w:val="00B60BD6"/>
    <w:rsid w:val="00B60CC3"/>
    <w:rsid w:val="00B60D24"/>
    <w:rsid w:val="00B60DE7"/>
    <w:rsid w:val="00B610FF"/>
    <w:rsid w:val="00B6142A"/>
    <w:rsid w:val="00B61619"/>
    <w:rsid w:val="00B618EC"/>
    <w:rsid w:val="00B61A62"/>
    <w:rsid w:val="00B61C00"/>
    <w:rsid w:val="00B61E03"/>
    <w:rsid w:val="00B6201D"/>
    <w:rsid w:val="00B623E2"/>
    <w:rsid w:val="00B62A36"/>
    <w:rsid w:val="00B62B73"/>
    <w:rsid w:val="00B62EE9"/>
    <w:rsid w:val="00B630B5"/>
    <w:rsid w:val="00B631E3"/>
    <w:rsid w:val="00B635D8"/>
    <w:rsid w:val="00B6367B"/>
    <w:rsid w:val="00B6392F"/>
    <w:rsid w:val="00B63AA3"/>
    <w:rsid w:val="00B63BD2"/>
    <w:rsid w:val="00B63C53"/>
    <w:rsid w:val="00B63C56"/>
    <w:rsid w:val="00B63F67"/>
    <w:rsid w:val="00B64256"/>
    <w:rsid w:val="00B642F2"/>
    <w:rsid w:val="00B647F1"/>
    <w:rsid w:val="00B64ACB"/>
    <w:rsid w:val="00B64B30"/>
    <w:rsid w:val="00B64E29"/>
    <w:rsid w:val="00B650C1"/>
    <w:rsid w:val="00B65127"/>
    <w:rsid w:val="00B6521C"/>
    <w:rsid w:val="00B653D5"/>
    <w:rsid w:val="00B654C6"/>
    <w:rsid w:val="00B65566"/>
    <w:rsid w:val="00B65F57"/>
    <w:rsid w:val="00B66303"/>
    <w:rsid w:val="00B6638C"/>
    <w:rsid w:val="00B66473"/>
    <w:rsid w:val="00B664D2"/>
    <w:rsid w:val="00B665B3"/>
    <w:rsid w:val="00B66772"/>
    <w:rsid w:val="00B6699F"/>
    <w:rsid w:val="00B66D43"/>
    <w:rsid w:val="00B66F75"/>
    <w:rsid w:val="00B670C1"/>
    <w:rsid w:val="00B671BE"/>
    <w:rsid w:val="00B6724A"/>
    <w:rsid w:val="00B67382"/>
    <w:rsid w:val="00B673A7"/>
    <w:rsid w:val="00B674CB"/>
    <w:rsid w:val="00B67874"/>
    <w:rsid w:val="00B678DC"/>
    <w:rsid w:val="00B67BCD"/>
    <w:rsid w:val="00B67C44"/>
    <w:rsid w:val="00B70054"/>
    <w:rsid w:val="00B704CC"/>
    <w:rsid w:val="00B70626"/>
    <w:rsid w:val="00B706E1"/>
    <w:rsid w:val="00B70762"/>
    <w:rsid w:val="00B7087F"/>
    <w:rsid w:val="00B70BE9"/>
    <w:rsid w:val="00B70BEE"/>
    <w:rsid w:val="00B70D0F"/>
    <w:rsid w:val="00B71003"/>
    <w:rsid w:val="00B7105A"/>
    <w:rsid w:val="00B7123E"/>
    <w:rsid w:val="00B712CA"/>
    <w:rsid w:val="00B71664"/>
    <w:rsid w:val="00B716F1"/>
    <w:rsid w:val="00B71869"/>
    <w:rsid w:val="00B71B54"/>
    <w:rsid w:val="00B71E39"/>
    <w:rsid w:val="00B71F12"/>
    <w:rsid w:val="00B71F56"/>
    <w:rsid w:val="00B72053"/>
    <w:rsid w:val="00B720A2"/>
    <w:rsid w:val="00B72133"/>
    <w:rsid w:val="00B72390"/>
    <w:rsid w:val="00B724AC"/>
    <w:rsid w:val="00B7251E"/>
    <w:rsid w:val="00B7292A"/>
    <w:rsid w:val="00B72AA1"/>
    <w:rsid w:val="00B72B14"/>
    <w:rsid w:val="00B72F4D"/>
    <w:rsid w:val="00B72FA2"/>
    <w:rsid w:val="00B732DF"/>
    <w:rsid w:val="00B733F9"/>
    <w:rsid w:val="00B73885"/>
    <w:rsid w:val="00B739EA"/>
    <w:rsid w:val="00B739EF"/>
    <w:rsid w:val="00B73A4C"/>
    <w:rsid w:val="00B73B41"/>
    <w:rsid w:val="00B73C48"/>
    <w:rsid w:val="00B73FEB"/>
    <w:rsid w:val="00B74147"/>
    <w:rsid w:val="00B741AA"/>
    <w:rsid w:val="00B742EA"/>
    <w:rsid w:val="00B7443F"/>
    <w:rsid w:val="00B745A8"/>
    <w:rsid w:val="00B745AA"/>
    <w:rsid w:val="00B7484B"/>
    <w:rsid w:val="00B748DF"/>
    <w:rsid w:val="00B74933"/>
    <w:rsid w:val="00B74B05"/>
    <w:rsid w:val="00B74B9E"/>
    <w:rsid w:val="00B74D08"/>
    <w:rsid w:val="00B74F3A"/>
    <w:rsid w:val="00B752BF"/>
    <w:rsid w:val="00B75477"/>
    <w:rsid w:val="00B75708"/>
    <w:rsid w:val="00B75872"/>
    <w:rsid w:val="00B75BA3"/>
    <w:rsid w:val="00B75D64"/>
    <w:rsid w:val="00B75E10"/>
    <w:rsid w:val="00B75F16"/>
    <w:rsid w:val="00B760E3"/>
    <w:rsid w:val="00B7628F"/>
    <w:rsid w:val="00B7655D"/>
    <w:rsid w:val="00B7666C"/>
    <w:rsid w:val="00B768D4"/>
    <w:rsid w:val="00B769BE"/>
    <w:rsid w:val="00B76B1C"/>
    <w:rsid w:val="00B76C5F"/>
    <w:rsid w:val="00B76F72"/>
    <w:rsid w:val="00B7716A"/>
    <w:rsid w:val="00B77362"/>
    <w:rsid w:val="00B77392"/>
    <w:rsid w:val="00B774EA"/>
    <w:rsid w:val="00B776DC"/>
    <w:rsid w:val="00B7798D"/>
    <w:rsid w:val="00B77BD7"/>
    <w:rsid w:val="00B77C34"/>
    <w:rsid w:val="00B77DF8"/>
    <w:rsid w:val="00B77E6B"/>
    <w:rsid w:val="00B80257"/>
    <w:rsid w:val="00B80546"/>
    <w:rsid w:val="00B80628"/>
    <w:rsid w:val="00B8064C"/>
    <w:rsid w:val="00B8072C"/>
    <w:rsid w:val="00B809ED"/>
    <w:rsid w:val="00B80A48"/>
    <w:rsid w:val="00B80B2E"/>
    <w:rsid w:val="00B80DD7"/>
    <w:rsid w:val="00B80E08"/>
    <w:rsid w:val="00B81105"/>
    <w:rsid w:val="00B8126F"/>
    <w:rsid w:val="00B81E26"/>
    <w:rsid w:val="00B81F83"/>
    <w:rsid w:val="00B82054"/>
    <w:rsid w:val="00B82108"/>
    <w:rsid w:val="00B821B2"/>
    <w:rsid w:val="00B82260"/>
    <w:rsid w:val="00B824E9"/>
    <w:rsid w:val="00B8263B"/>
    <w:rsid w:val="00B8274E"/>
    <w:rsid w:val="00B82BBF"/>
    <w:rsid w:val="00B82C30"/>
    <w:rsid w:val="00B834D1"/>
    <w:rsid w:val="00B8368F"/>
    <w:rsid w:val="00B8392A"/>
    <w:rsid w:val="00B83BDE"/>
    <w:rsid w:val="00B84072"/>
    <w:rsid w:val="00B841F2"/>
    <w:rsid w:val="00B846D1"/>
    <w:rsid w:val="00B846E6"/>
    <w:rsid w:val="00B8477E"/>
    <w:rsid w:val="00B847CC"/>
    <w:rsid w:val="00B849D8"/>
    <w:rsid w:val="00B849EA"/>
    <w:rsid w:val="00B84A28"/>
    <w:rsid w:val="00B84AC9"/>
    <w:rsid w:val="00B84B22"/>
    <w:rsid w:val="00B84B92"/>
    <w:rsid w:val="00B84C49"/>
    <w:rsid w:val="00B84D48"/>
    <w:rsid w:val="00B84E34"/>
    <w:rsid w:val="00B84E9C"/>
    <w:rsid w:val="00B8560C"/>
    <w:rsid w:val="00B856B0"/>
    <w:rsid w:val="00B85AC3"/>
    <w:rsid w:val="00B85CCF"/>
    <w:rsid w:val="00B85DFF"/>
    <w:rsid w:val="00B85ED2"/>
    <w:rsid w:val="00B85F57"/>
    <w:rsid w:val="00B85F74"/>
    <w:rsid w:val="00B860B6"/>
    <w:rsid w:val="00B86102"/>
    <w:rsid w:val="00B86489"/>
    <w:rsid w:val="00B8654A"/>
    <w:rsid w:val="00B8667F"/>
    <w:rsid w:val="00B866C4"/>
    <w:rsid w:val="00B86733"/>
    <w:rsid w:val="00B8675A"/>
    <w:rsid w:val="00B867AA"/>
    <w:rsid w:val="00B867F9"/>
    <w:rsid w:val="00B8689A"/>
    <w:rsid w:val="00B86B8A"/>
    <w:rsid w:val="00B86F02"/>
    <w:rsid w:val="00B86FB2"/>
    <w:rsid w:val="00B86FF5"/>
    <w:rsid w:val="00B87145"/>
    <w:rsid w:val="00B873E3"/>
    <w:rsid w:val="00B873F9"/>
    <w:rsid w:val="00B87497"/>
    <w:rsid w:val="00B87DBA"/>
    <w:rsid w:val="00B87DE6"/>
    <w:rsid w:val="00B87E25"/>
    <w:rsid w:val="00B90029"/>
    <w:rsid w:val="00B9003D"/>
    <w:rsid w:val="00B9008D"/>
    <w:rsid w:val="00B900D3"/>
    <w:rsid w:val="00B90142"/>
    <w:rsid w:val="00B903AC"/>
    <w:rsid w:val="00B909C5"/>
    <w:rsid w:val="00B90A58"/>
    <w:rsid w:val="00B90FA7"/>
    <w:rsid w:val="00B91100"/>
    <w:rsid w:val="00B911F8"/>
    <w:rsid w:val="00B912CB"/>
    <w:rsid w:val="00B914A3"/>
    <w:rsid w:val="00B9154C"/>
    <w:rsid w:val="00B91576"/>
    <w:rsid w:val="00B915EF"/>
    <w:rsid w:val="00B91613"/>
    <w:rsid w:val="00B91774"/>
    <w:rsid w:val="00B9181B"/>
    <w:rsid w:val="00B9186B"/>
    <w:rsid w:val="00B918B9"/>
    <w:rsid w:val="00B91B28"/>
    <w:rsid w:val="00B91C83"/>
    <w:rsid w:val="00B91D65"/>
    <w:rsid w:val="00B91DA7"/>
    <w:rsid w:val="00B91F3A"/>
    <w:rsid w:val="00B922CD"/>
    <w:rsid w:val="00B92707"/>
    <w:rsid w:val="00B92787"/>
    <w:rsid w:val="00B92822"/>
    <w:rsid w:val="00B92C69"/>
    <w:rsid w:val="00B92D2E"/>
    <w:rsid w:val="00B92EBF"/>
    <w:rsid w:val="00B92F93"/>
    <w:rsid w:val="00B93072"/>
    <w:rsid w:val="00B93237"/>
    <w:rsid w:val="00B932C6"/>
    <w:rsid w:val="00B932F0"/>
    <w:rsid w:val="00B93376"/>
    <w:rsid w:val="00B9360B"/>
    <w:rsid w:val="00B9365B"/>
    <w:rsid w:val="00B93844"/>
    <w:rsid w:val="00B9390F"/>
    <w:rsid w:val="00B93945"/>
    <w:rsid w:val="00B93A1C"/>
    <w:rsid w:val="00B94009"/>
    <w:rsid w:val="00B94265"/>
    <w:rsid w:val="00B94408"/>
    <w:rsid w:val="00B9451B"/>
    <w:rsid w:val="00B946FF"/>
    <w:rsid w:val="00B9488F"/>
    <w:rsid w:val="00B94898"/>
    <w:rsid w:val="00B94A2F"/>
    <w:rsid w:val="00B94DF9"/>
    <w:rsid w:val="00B94F4A"/>
    <w:rsid w:val="00B94F87"/>
    <w:rsid w:val="00B95239"/>
    <w:rsid w:val="00B953B2"/>
    <w:rsid w:val="00B95566"/>
    <w:rsid w:val="00B955F8"/>
    <w:rsid w:val="00B956DA"/>
    <w:rsid w:val="00B95828"/>
    <w:rsid w:val="00B95A26"/>
    <w:rsid w:val="00B95D58"/>
    <w:rsid w:val="00B95E37"/>
    <w:rsid w:val="00B96007"/>
    <w:rsid w:val="00B96011"/>
    <w:rsid w:val="00B96076"/>
    <w:rsid w:val="00B96089"/>
    <w:rsid w:val="00B963DA"/>
    <w:rsid w:val="00B966B0"/>
    <w:rsid w:val="00B968A8"/>
    <w:rsid w:val="00B96AA6"/>
    <w:rsid w:val="00B96EB9"/>
    <w:rsid w:val="00B97060"/>
    <w:rsid w:val="00B97275"/>
    <w:rsid w:val="00B97339"/>
    <w:rsid w:val="00B97484"/>
    <w:rsid w:val="00B97550"/>
    <w:rsid w:val="00B975F1"/>
    <w:rsid w:val="00B9777D"/>
    <w:rsid w:val="00B97A5B"/>
    <w:rsid w:val="00B97B30"/>
    <w:rsid w:val="00B97BC4"/>
    <w:rsid w:val="00B97BF1"/>
    <w:rsid w:val="00BA0050"/>
    <w:rsid w:val="00BA00A7"/>
    <w:rsid w:val="00BA0199"/>
    <w:rsid w:val="00BA0580"/>
    <w:rsid w:val="00BA07ED"/>
    <w:rsid w:val="00BA081A"/>
    <w:rsid w:val="00BA097D"/>
    <w:rsid w:val="00BA0989"/>
    <w:rsid w:val="00BA0B00"/>
    <w:rsid w:val="00BA0C6D"/>
    <w:rsid w:val="00BA0E39"/>
    <w:rsid w:val="00BA0F61"/>
    <w:rsid w:val="00BA10F7"/>
    <w:rsid w:val="00BA128A"/>
    <w:rsid w:val="00BA12BA"/>
    <w:rsid w:val="00BA1323"/>
    <w:rsid w:val="00BA13E7"/>
    <w:rsid w:val="00BA175F"/>
    <w:rsid w:val="00BA1A90"/>
    <w:rsid w:val="00BA1F88"/>
    <w:rsid w:val="00BA1FE5"/>
    <w:rsid w:val="00BA20A5"/>
    <w:rsid w:val="00BA215C"/>
    <w:rsid w:val="00BA222E"/>
    <w:rsid w:val="00BA24BD"/>
    <w:rsid w:val="00BA284D"/>
    <w:rsid w:val="00BA2904"/>
    <w:rsid w:val="00BA2BE9"/>
    <w:rsid w:val="00BA2C62"/>
    <w:rsid w:val="00BA2DE9"/>
    <w:rsid w:val="00BA33FA"/>
    <w:rsid w:val="00BA3435"/>
    <w:rsid w:val="00BA3455"/>
    <w:rsid w:val="00BA35E1"/>
    <w:rsid w:val="00BA3DDE"/>
    <w:rsid w:val="00BA3E8D"/>
    <w:rsid w:val="00BA3F03"/>
    <w:rsid w:val="00BA445A"/>
    <w:rsid w:val="00BA4549"/>
    <w:rsid w:val="00BA49C1"/>
    <w:rsid w:val="00BA4B39"/>
    <w:rsid w:val="00BA4D11"/>
    <w:rsid w:val="00BA5118"/>
    <w:rsid w:val="00BA520D"/>
    <w:rsid w:val="00BA5245"/>
    <w:rsid w:val="00BA5275"/>
    <w:rsid w:val="00BA534E"/>
    <w:rsid w:val="00BA5459"/>
    <w:rsid w:val="00BA55B6"/>
    <w:rsid w:val="00BA56AA"/>
    <w:rsid w:val="00BA58AB"/>
    <w:rsid w:val="00BA5B3E"/>
    <w:rsid w:val="00BA5BC9"/>
    <w:rsid w:val="00BA5D27"/>
    <w:rsid w:val="00BA6030"/>
    <w:rsid w:val="00BA60E8"/>
    <w:rsid w:val="00BA63A7"/>
    <w:rsid w:val="00BA64D8"/>
    <w:rsid w:val="00BA6695"/>
    <w:rsid w:val="00BA69D6"/>
    <w:rsid w:val="00BA6AE0"/>
    <w:rsid w:val="00BA6AFE"/>
    <w:rsid w:val="00BA6EF9"/>
    <w:rsid w:val="00BA7231"/>
    <w:rsid w:val="00BA745F"/>
    <w:rsid w:val="00BA769F"/>
    <w:rsid w:val="00BA7782"/>
    <w:rsid w:val="00BA7859"/>
    <w:rsid w:val="00BA79C9"/>
    <w:rsid w:val="00BA7BA7"/>
    <w:rsid w:val="00BA7C06"/>
    <w:rsid w:val="00BA7C15"/>
    <w:rsid w:val="00BA7E3C"/>
    <w:rsid w:val="00BB04AD"/>
    <w:rsid w:val="00BB08F7"/>
    <w:rsid w:val="00BB0973"/>
    <w:rsid w:val="00BB0A19"/>
    <w:rsid w:val="00BB0A6D"/>
    <w:rsid w:val="00BB0AD7"/>
    <w:rsid w:val="00BB0CC9"/>
    <w:rsid w:val="00BB0FDD"/>
    <w:rsid w:val="00BB10C4"/>
    <w:rsid w:val="00BB11B8"/>
    <w:rsid w:val="00BB1286"/>
    <w:rsid w:val="00BB1301"/>
    <w:rsid w:val="00BB1427"/>
    <w:rsid w:val="00BB160E"/>
    <w:rsid w:val="00BB1DCC"/>
    <w:rsid w:val="00BB2085"/>
    <w:rsid w:val="00BB2465"/>
    <w:rsid w:val="00BB24D3"/>
    <w:rsid w:val="00BB270D"/>
    <w:rsid w:val="00BB274B"/>
    <w:rsid w:val="00BB2799"/>
    <w:rsid w:val="00BB27D7"/>
    <w:rsid w:val="00BB29D7"/>
    <w:rsid w:val="00BB2E30"/>
    <w:rsid w:val="00BB3197"/>
    <w:rsid w:val="00BB32A5"/>
    <w:rsid w:val="00BB369D"/>
    <w:rsid w:val="00BB38C8"/>
    <w:rsid w:val="00BB39A9"/>
    <w:rsid w:val="00BB3B6C"/>
    <w:rsid w:val="00BB3D93"/>
    <w:rsid w:val="00BB42D6"/>
    <w:rsid w:val="00BB45BC"/>
    <w:rsid w:val="00BB467B"/>
    <w:rsid w:val="00BB46DC"/>
    <w:rsid w:val="00BB4D72"/>
    <w:rsid w:val="00BB53AC"/>
    <w:rsid w:val="00BB5483"/>
    <w:rsid w:val="00BB553C"/>
    <w:rsid w:val="00BB57A0"/>
    <w:rsid w:val="00BB58A3"/>
    <w:rsid w:val="00BB5B8B"/>
    <w:rsid w:val="00BB5BFC"/>
    <w:rsid w:val="00BB5DEA"/>
    <w:rsid w:val="00BB6170"/>
    <w:rsid w:val="00BB6784"/>
    <w:rsid w:val="00BB6936"/>
    <w:rsid w:val="00BB69CE"/>
    <w:rsid w:val="00BB6AE5"/>
    <w:rsid w:val="00BB6B05"/>
    <w:rsid w:val="00BB6D00"/>
    <w:rsid w:val="00BB6D4D"/>
    <w:rsid w:val="00BB6F75"/>
    <w:rsid w:val="00BB6F89"/>
    <w:rsid w:val="00BB6FA0"/>
    <w:rsid w:val="00BB728E"/>
    <w:rsid w:val="00BB7606"/>
    <w:rsid w:val="00BB77F3"/>
    <w:rsid w:val="00BB7A1E"/>
    <w:rsid w:val="00BB7B03"/>
    <w:rsid w:val="00BB7F2A"/>
    <w:rsid w:val="00BC0230"/>
    <w:rsid w:val="00BC032F"/>
    <w:rsid w:val="00BC05FD"/>
    <w:rsid w:val="00BC0694"/>
    <w:rsid w:val="00BC07CD"/>
    <w:rsid w:val="00BC0851"/>
    <w:rsid w:val="00BC086B"/>
    <w:rsid w:val="00BC09FF"/>
    <w:rsid w:val="00BC0D8A"/>
    <w:rsid w:val="00BC0EB9"/>
    <w:rsid w:val="00BC0F15"/>
    <w:rsid w:val="00BC0F24"/>
    <w:rsid w:val="00BC10EB"/>
    <w:rsid w:val="00BC1432"/>
    <w:rsid w:val="00BC14BB"/>
    <w:rsid w:val="00BC1503"/>
    <w:rsid w:val="00BC1576"/>
    <w:rsid w:val="00BC1591"/>
    <w:rsid w:val="00BC15E0"/>
    <w:rsid w:val="00BC1746"/>
    <w:rsid w:val="00BC1D80"/>
    <w:rsid w:val="00BC2383"/>
    <w:rsid w:val="00BC2456"/>
    <w:rsid w:val="00BC2617"/>
    <w:rsid w:val="00BC2700"/>
    <w:rsid w:val="00BC2780"/>
    <w:rsid w:val="00BC294E"/>
    <w:rsid w:val="00BC2B29"/>
    <w:rsid w:val="00BC2C54"/>
    <w:rsid w:val="00BC2D91"/>
    <w:rsid w:val="00BC2DC5"/>
    <w:rsid w:val="00BC2EA6"/>
    <w:rsid w:val="00BC2EF7"/>
    <w:rsid w:val="00BC2FEF"/>
    <w:rsid w:val="00BC3197"/>
    <w:rsid w:val="00BC3254"/>
    <w:rsid w:val="00BC337B"/>
    <w:rsid w:val="00BC350E"/>
    <w:rsid w:val="00BC37B1"/>
    <w:rsid w:val="00BC3929"/>
    <w:rsid w:val="00BC3B85"/>
    <w:rsid w:val="00BC3CEA"/>
    <w:rsid w:val="00BC3DD0"/>
    <w:rsid w:val="00BC3F9F"/>
    <w:rsid w:val="00BC3FBA"/>
    <w:rsid w:val="00BC40C5"/>
    <w:rsid w:val="00BC42C7"/>
    <w:rsid w:val="00BC42D7"/>
    <w:rsid w:val="00BC4CCF"/>
    <w:rsid w:val="00BC4D40"/>
    <w:rsid w:val="00BC4DC3"/>
    <w:rsid w:val="00BC4DD9"/>
    <w:rsid w:val="00BC4EFF"/>
    <w:rsid w:val="00BC5156"/>
    <w:rsid w:val="00BC525B"/>
    <w:rsid w:val="00BC54CC"/>
    <w:rsid w:val="00BC5A8D"/>
    <w:rsid w:val="00BC5C19"/>
    <w:rsid w:val="00BC5CDE"/>
    <w:rsid w:val="00BC5D4F"/>
    <w:rsid w:val="00BC6007"/>
    <w:rsid w:val="00BC602A"/>
    <w:rsid w:val="00BC60A8"/>
    <w:rsid w:val="00BC61AC"/>
    <w:rsid w:val="00BC641A"/>
    <w:rsid w:val="00BC646F"/>
    <w:rsid w:val="00BC657D"/>
    <w:rsid w:val="00BC6A90"/>
    <w:rsid w:val="00BC6BA0"/>
    <w:rsid w:val="00BC6C75"/>
    <w:rsid w:val="00BC6CD7"/>
    <w:rsid w:val="00BC6E99"/>
    <w:rsid w:val="00BC6EE0"/>
    <w:rsid w:val="00BC713D"/>
    <w:rsid w:val="00BC7856"/>
    <w:rsid w:val="00BC7AAA"/>
    <w:rsid w:val="00BC7B06"/>
    <w:rsid w:val="00BC7BFF"/>
    <w:rsid w:val="00BC7C5F"/>
    <w:rsid w:val="00BD0002"/>
    <w:rsid w:val="00BD0006"/>
    <w:rsid w:val="00BD0078"/>
    <w:rsid w:val="00BD009B"/>
    <w:rsid w:val="00BD0465"/>
    <w:rsid w:val="00BD0700"/>
    <w:rsid w:val="00BD07AB"/>
    <w:rsid w:val="00BD07BF"/>
    <w:rsid w:val="00BD0AC0"/>
    <w:rsid w:val="00BD0C30"/>
    <w:rsid w:val="00BD0D7D"/>
    <w:rsid w:val="00BD0F49"/>
    <w:rsid w:val="00BD10E9"/>
    <w:rsid w:val="00BD176B"/>
    <w:rsid w:val="00BD1C74"/>
    <w:rsid w:val="00BD1DF1"/>
    <w:rsid w:val="00BD1E37"/>
    <w:rsid w:val="00BD2273"/>
    <w:rsid w:val="00BD2503"/>
    <w:rsid w:val="00BD257F"/>
    <w:rsid w:val="00BD25C1"/>
    <w:rsid w:val="00BD2811"/>
    <w:rsid w:val="00BD2A68"/>
    <w:rsid w:val="00BD2A83"/>
    <w:rsid w:val="00BD2AC3"/>
    <w:rsid w:val="00BD2D27"/>
    <w:rsid w:val="00BD2E35"/>
    <w:rsid w:val="00BD320B"/>
    <w:rsid w:val="00BD3292"/>
    <w:rsid w:val="00BD331F"/>
    <w:rsid w:val="00BD3433"/>
    <w:rsid w:val="00BD34AD"/>
    <w:rsid w:val="00BD359F"/>
    <w:rsid w:val="00BD3681"/>
    <w:rsid w:val="00BD3A28"/>
    <w:rsid w:val="00BD3C72"/>
    <w:rsid w:val="00BD3F77"/>
    <w:rsid w:val="00BD41A0"/>
    <w:rsid w:val="00BD4262"/>
    <w:rsid w:val="00BD472D"/>
    <w:rsid w:val="00BD47A8"/>
    <w:rsid w:val="00BD4946"/>
    <w:rsid w:val="00BD49A7"/>
    <w:rsid w:val="00BD49C2"/>
    <w:rsid w:val="00BD4C72"/>
    <w:rsid w:val="00BD4CBA"/>
    <w:rsid w:val="00BD4EF7"/>
    <w:rsid w:val="00BD51C7"/>
    <w:rsid w:val="00BD51D2"/>
    <w:rsid w:val="00BD5293"/>
    <w:rsid w:val="00BD535E"/>
    <w:rsid w:val="00BD57A7"/>
    <w:rsid w:val="00BD5ADF"/>
    <w:rsid w:val="00BD5C5D"/>
    <w:rsid w:val="00BD5C7A"/>
    <w:rsid w:val="00BD5E7E"/>
    <w:rsid w:val="00BD6079"/>
    <w:rsid w:val="00BD61A1"/>
    <w:rsid w:val="00BD6464"/>
    <w:rsid w:val="00BD6775"/>
    <w:rsid w:val="00BD6977"/>
    <w:rsid w:val="00BD69D9"/>
    <w:rsid w:val="00BD6B97"/>
    <w:rsid w:val="00BD6D0A"/>
    <w:rsid w:val="00BD6D6A"/>
    <w:rsid w:val="00BD6DD1"/>
    <w:rsid w:val="00BD6FAE"/>
    <w:rsid w:val="00BD70B4"/>
    <w:rsid w:val="00BD721C"/>
    <w:rsid w:val="00BD72B5"/>
    <w:rsid w:val="00BD74BE"/>
    <w:rsid w:val="00BD7590"/>
    <w:rsid w:val="00BD76BA"/>
    <w:rsid w:val="00BD773D"/>
    <w:rsid w:val="00BD7CE9"/>
    <w:rsid w:val="00BD7E25"/>
    <w:rsid w:val="00BD7F6A"/>
    <w:rsid w:val="00BD7FFC"/>
    <w:rsid w:val="00BE005A"/>
    <w:rsid w:val="00BE012C"/>
    <w:rsid w:val="00BE0152"/>
    <w:rsid w:val="00BE022A"/>
    <w:rsid w:val="00BE026E"/>
    <w:rsid w:val="00BE0295"/>
    <w:rsid w:val="00BE02E1"/>
    <w:rsid w:val="00BE045F"/>
    <w:rsid w:val="00BE0491"/>
    <w:rsid w:val="00BE066C"/>
    <w:rsid w:val="00BE0774"/>
    <w:rsid w:val="00BE08BB"/>
    <w:rsid w:val="00BE09D7"/>
    <w:rsid w:val="00BE0AC9"/>
    <w:rsid w:val="00BE0B46"/>
    <w:rsid w:val="00BE0B84"/>
    <w:rsid w:val="00BE0F8B"/>
    <w:rsid w:val="00BE145D"/>
    <w:rsid w:val="00BE17EE"/>
    <w:rsid w:val="00BE182D"/>
    <w:rsid w:val="00BE18C3"/>
    <w:rsid w:val="00BE18F6"/>
    <w:rsid w:val="00BE1B93"/>
    <w:rsid w:val="00BE1C21"/>
    <w:rsid w:val="00BE1D7E"/>
    <w:rsid w:val="00BE1EEE"/>
    <w:rsid w:val="00BE2051"/>
    <w:rsid w:val="00BE21AB"/>
    <w:rsid w:val="00BE23D8"/>
    <w:rsid w:val="00BE2496"/>
    <w:rsid w:val="00BE26F1"/>
    <w:rsid w:val="00BE279E"/>
    <w:rsid w:val="00BE289A"/>
    <w:rsid w:val="00BE28FB"/>
    <w:rsid w:val="00BE2CA4"/>
    <w:rsid w:val="00BE2CCC"/>
    <w:rsid w:val="00BE31C4"/>
    <w:rsid w:val="00BE31E3"/>
    <w:rsid w:val="00BE320A"/>
    <w:rsid w:val="00BE33D4"/>
    <w:rsid w:val="00BE370E"/>
    <w:rsid w:val="00BE371B"/>
    <w:rsid w:val="00BE37AF"/>
    <w:rsid w:val="00BE3877"/>
    <w:rsid w:val="00BE3A03"/>
    <w:rsid w:val="00BE3AB3"/>
    <w:rsid w:val="00BE3ACD"/>
    <w:rsid w:val="00BE3C13"/>
    <w:rsid w:val="00BE3D1D"/>
    <w:rsid w:val="00BE3EF3"/>
    <w:rsid w:val="00BE3FA2"/>
    <w:rsid w:val="00BE41AB"/>
    <w:rsid w:val="00BE4240"/>
    <w:rsid w:val="00BE43AD"/>
    <w:rsid w:val="00BE46D0"/>
    <w:rsid w:val="00BE4C89"/>
    <w:rsid w:val="00BE4DA1"/>
    <w:rsid w:val="00BE4E5F"/>
    <w:rsid w:val="00BE4F2E"/>
    <w:rsid w:val="00BE5188"/>
    <w:rsid w:val="00BE5A15"/>
    <w:rsid w:val="00BE5A89"/>
    <w:rsid w:val="00BE5BB3"/>
    <w:rsid w:val="00BE5C0C"/>
    <w:rsid w:val="00BE5C89"/>
    <w:rsid w:val="00BE5CE4"/>
    <w:rsid w:val="00BE5CEA"/>
    <w:rsid w:val="00BE60D9"/>
    <w:rsid w:val="00BE6647"/>
    <w:rsid w:val="00BE66DC"/>
    <w:rsid w:val="00BE6751"/>
    <w:rsid w:val="00BE6A3D"/>
    <w:rsid w:val="00BE6CB6"/>
    <w:rsid w:val="00BE6D17"/>
    <w:rsid w:val="00BE6E85"/>
    <w:rsid w:val="00BE6F62"/>
    <w:rsid w:val="00BE702E"/>
    <w:rsid w:val="00BE7320"/>
    <w:rsid w:val="00BE73BF"/>
    <w:rsid w:val="00BE7405"/>
    <w:rsid w:val="00BE74DC"/>
    <w:rsid w:val="00BE785A"/>
    <w:rsid w:val="00BE79EB"/>
    <w:rsid w:val="00BE7CF9"/>
    <w:rsid w:val="00BE7E30"/>
    <w:rsid w:val="00BF0165"/>
    <w:rsid w:val="00BF016D"/>
    <w:rsid w:val="00BF01EC"/>
    <w:rsid w:val="00BF0419"/>
    <w:rsid w:val="00BF054E"/>
    <w:rsid w:val="00BF05BB"/>
    <w:rsid w:val="00BF064E"/>
    <w:rsid w:val="00BF067C"/>
    <w:rsid w:val="00BF0779"/>
    <w:rsid w:val="00BF082C"/>
    <w:rsid w:val="00BF0982"/>
    <w:rsid w:val="00BF0A24"/>
    <w:rsid w:val="00BF0BF8"/>
    <w:rsid w:val="00BF0F32"/>
    <w:rsid w:val="00BF1015"/>
    <w:rsid w:val="00BF12B5"/>
    <w:rsid w:val="00BF1605"/>
    <w:rsid w:val="00BF18ED"/>
    <w:rsid w:val="00BF1903"/>
    <w:rsid w:val="00BF19C1"/>
    <w:rsid w:val="00BF1B46"/>
    <w:rsid w:val="00BF1B7B"/>
    <w:rsid w:val="00BF1C05"/>
    <w:rsid w:val="00BF1CF8"/>
    <w:rsid w:val="00BF1EFE"/>
    <w:rsid w:val="00BF2351"/>
    <w:rsid w:val="00BF25CC"/>
    <w:rsid w:val="00BF2638"/>
    <w:rsid w:val="00BF26A1"/>
    <w:rsid w:val="00BF270C"/>
    <w:rsid w:val="00BF29BD"/>
    <w:rsid w:val="00BF2B18"/>
    <w:rsid w:val="00BF2EB5"/>
    <w:rsid w:val="00BF3436"/>
    <w:rsid w:val="00BF351B"/>
    <w:rsid w:val="00BF361B"/>
    <w:rsid w:val="00BF3AD7"/>
    <w:rsid w:val="00BF3B09"/>
    <w:rsid w:val="00BF3BAE"/>
    <w:rsid w:val="00BF3D6E"/>
    <w:rsid w:val="00BF424D"/>
    <w:rsid w:val="00BF427F"/>
    <w:rsid w:val="00BF433B"/>
    <w:rsid w:val="00BF43C5"/>
    <w:rsid w:val="00BF473D"/>
    <w:rsid w:val="00BF4769"/>
    <w:rsid w:val="00BF4916"/>
    <w:rsid w:val="00BF491D"/>
    <w:rsid w:val="00BF4AC9"/>
    <w:rsid w:val="00BF4BA7"/>
    <w:rsid w:val="00BF4D0C"/>
    <w:rsid w:val="00BF4D62"/>
    <w:rsid w:val="00BF4F50"/>
    <w:rsid w:val="00BF508D"/>
    <w:rsid w:val="00BF51D3"/>
    <w:rsid w:val="00BF5281"/>
    <w:rsid w:val="00BF53DF"/>
    <w:rsid w:val="00BF5475"/>
    <w:rsid w:val="00BF55A8"/>
    <w:rsid w:val="00BF56E9"/>
    <w:rsid w:val="00BF5844"/>
    <w:rsid w:val="00BF59F6"/>
    <w:rsid w:val="00BF5A2B"/>
    <w:rsid w:val="00BF5A9F"/>
    <w:rsid w:val="00BF5C70"/>
    <w:rsid w:val="00BF5CC1"/>
    <w:rsid w:val="00BF5DAB"/>
    <w:rsid w:val="00BF6093"/>
    <w:rsid w:val="00BF60C3"/>
    <w:rsid w:val="00BF62D2"/>
    <w:rsid w:val="00BF63F1"/>
    <w:rsid w:val="00BF6586"/>
    <w:rsid w:val="00BF6860"/>
    <w:rsid w:val="00BF6A64"/>
    <w:rsid w:val="00BF6D1F"/>
    <w:rsid w:val="00BF7070"/>
    <w:rsid w:val="00BF73C6"/>
    <w:rsid w:val="00BF7404"/>
    <w:rsid w:val="00BF749C"/>
    <w:rsid w:val="00BF753B"/>
    <w:rsid w:val="00BF7E11"/>
    <w:rsid w:val="00C00306"/>
    <w:rsid w:val="00C00B1E"/>
    <w:rsid w:val="00C00D44"/>
    <w:rsid w:val="00C00EC3"/>
    <w:rsid w:val="00C011A7"/>
    <w:rsid w:val="00C0120B"/>
    <w:rsid w:val="00C013F9"/>
    <w:rsid w:val="00C0140D"/>
    <w:rsid w:val="00C01435"/>
    <w:rsid w:val="00C014EF"/>
    <w:rsid w:val="00C01684"/>
    <w:rsid w:val="00C016B1"/>
    <w:rsid w:val="00C017F2"/>
    <w:rsid w:val="00C0195F"/>
    <w:rsid w:val="00C019B9"/>
    <w:rsid w:val="00C01B6E"/>
    <w:rsid w:val="00C01C3A"/>
    <w:rsid w:val="00C01E65"/>
    <w:rsid w:val="00C01F75"/>
    <w:rsid w:val="00C0209A"/>
    <w:rsid w:val="00C02355"/>
    <w:rsid w:val="00C023B1"/>
    <w:rsid w:val="00C023C0"/>
    <w:rsid w:val="00C02728"/>
    <w:rsid w:val="00C0279F"/>
    <w:rsid w:val="00C0282E"/>
    <w:rsid w:val="00C028A4"/>
    <w:rsid w:val="00C02D41"/>
    <w:rsid w:val="00C02D87"/>
    <w:rsid w:val="00C02EFF"/>
    <w:rsid w:val="00C03148"/>
    <w:rsid w:val="00C0319F"/>
    <w:rsid w:val="00C03605"/>
    <w:rsid w:val="00C0398E"/>
    <w:rsid w:val="00C03AE4"/>
    <w:rsid w:val="00C03B36"/>
    <w:rsid w:val="00C03B53"/>
    <w:rsid w:val="00C03B7B"/>
    <w:rsid w:val="00C03BB0"/>
    <w:rsid w:val="00C03BCE"/>
    <w:rsid w:val="00C04041"/>
    <w:rsid w:val="00C0407E"/>
    <w:rsid w:val="00C04271"/>
    <w:rsid w:val="00C042F1"/>
    <w:rsid w:val="00C0444B"/>
    <w:rsid w:val="00C0482C"/>
    <w:rsid w:val="00C04EE2"/>
    <w:rsid w:val="00C050CD"/>
    <w:rsid w:val="00C05455"/>
    <w:rsid w:val="00C05529"/>
    <w:rsid w:val="00C05683"/>
    <w:rsid w:val="00C059B6"/>
    <w:rsid w:val="00C05E55"/>
    <w:rsid w:val="00C05F13"/>
    <w:rsid w:val="00C05F69"/>
    <w:rsid w:val="00C06269"/>
    <w:rsid w:val="00C064BB"/>
    <w:rsid w:val="00C0658D"/>
    <w:rsid w:val="00C065F7"/>
    <w:rsid w:val="00C065F8"/>
    <w:rsid w:val="00C070D4"/>
    <w:rsid w:val="00C0722C"/>
    <w:rsid w:val="00C07251"/>
    <w:rsid w:val="00C077CA"/>
    <w:rsid w:val="00C077F6"/>
    <w:rsid w:val="00C07820"/>
    <w:rsid w:val="00C07971"/>
    <w:rsid w:val="00C10008"/>
    <w:rsid w:val="00C100A6"/>
    <w:rsid w:val="00C100DD"/>
    <w:rsid w:val="00C101F0"/>
    <w:rsid w:val="00C10246"/>
    <w:rsid w:val="00C1083B"/>
    <w:rsid w:val="00C10DA2"/>
    <w:rsid w:val="00C10DA5"/>
    <w:rsid w:val="00C10E34"/>
    <w:rsid w:val="00C11170"/>
    <w:rsid w:val="00C112C6"/>
    <w:rsid w:val="00C115D1"/>
    <w:rsid w:val="00C11BD5"/>
    <w:rsid w:val="00C11FFA"/>
    <w:rsid w:val="00C12223"/>
    <w:rsid w:val="00C123CC"/>
    <w:rsid w:val="00C124E2"/>
    <w:rsid w:val="00C12899"/>
    <w:rsid w:val="00C1296E"/>
    <w:rsid w:val="00C129CF"/>
    <w:rsid w:val="00C12E49"/>
    <w:rsid w:val="00C1318E"/>
    <w:rsid w:val="00C13384"/>
    <w:rsid w:val="00C13599"/>
    <w:rsid w:val="00C1364C"/>
    <w:rsid w:val="00C1399B"/>
    <w:rsid w:val="00C13B6C"/>
    <w:rsid w:val="00C13D7E"/>
    <w:rsid w:val="00C13DAF"/>
    <w:rsid w:val="00C13F59"/>
    <w:rsid w:val="00C14761"/>
    <w:rsid w:val="00C148A7"/>
    <w:rsid w:val="00C148FE"/>
    <w:rsid w:val="00C14995"/>
    <w:rsid w:val="00C14DB3"/>
    <w:rsid w:val="00C15203"/>
    <w:rsid w:val="00C15229"/>
    <w:rsid w:val="00C15268"/>
    <w:rsid w:val="00C15504"/>
    <w:rsid w:val="00C15555"/>
    <w:rsid w:val="00C15878"/>
    <w:rsid w:val="00C15A01"/>
    <w:rsid w:val="00C15E1E"/>
    <w:rsid w:val="00C15E43"/>
    <w:rsid w:val="00C15F54"/>
    <w:rsid w:val="00C161BC"/>
    <w:rsid w:val="00C161E8"/>
    <w:rsid w:val="00C16227"/>
    <w:rsid w:val="00C162F7"/>
    <w:rsid w:val="00C16376"/>
    <w:rsid w:val="00C16613"/>
    <w:rsid w:val="00C16690"/>
    <w:rsid w:val="00C1682A"/>
    <w:rsid w:val="00C16BD4"/>
    <w:rsid w:val="00C1700D"/>
    <w:rsid w:val="00C17068"/>
    <w:rsid w:val="00C17405"/>
    <w:rsid w:val="00C17454"/>
    <w:rsid w:val="00C17985"/>
    <w:rsid w:val="00C17A4E"/>
    <w:rsid w:val="00C17CB7"/>
    <w:rsid w:val="00C17D99"/>
    <w:rsid w:val="00C17E6C"/>
    <w:rsid w:val="00C17EC4"/>
    <w:rsid w:val="00C17F14"/>
    <w:rsid w:val="00C2030A"/>
    <w:rsid w:val="00C2031B"/>
    <w:rsid w:val="00C2059F"/>
    <w:rsid w:val="00C2071A"/>
    <w:rsid w:val="00C20879"/>
    <w:rsid w:val="00C20A57"/>
    <w:rsid w:val="00C20F46"/>
    <w:rsid w:val="00C210F5"/>
    <w:rsid w:val="00C211BF"/>
    <w:rsid w:val="00C212B8"/>
    <w:rsid w:val="00C2141F"/>
    <w:rsid w:val="00C21985"/>
    <w:rsid w:val="00C2198D"/>
    <w:rsid w:val="00C21D44"/>
    <w:rsid w:val="00C21EAB"/>
    <w:rsid w:val="00C21EAE"/>
    <w:rsid w:val="00C227F0"/>
    <w:rsid w:val="00C22AC1"/>
    <w:rsid w:val="00C22CBB"/>
    <w:rsid w:val="00C22E63"/>
    <w:rsid w:val="00C22F0D"/>
    <w:rsid w:val="00C23183"/>
    <w:rsid w:val="00C23467"/>
    <w:rsid w:val="00C23481"/>
    <w:rsid w:val="00C235F7"/>
    <w:rsid w:val="00C236C4"/>
    <w:rsid w:val="00C23787"/>
    <w:rsid w:val="00C237A5"/>
    <w:rsid w:val="00C239BA"/>
    <w:rsid w:val="00C23B77"/>
    <w:rsid w:val="00C23F6A"/>
    <w:rsid w:val="00C23FAF"/>
    <w:rsid w:val="00C240DB"/>
    <w:rsid w:val="00C24649"/>
    <w:rsid w:val="00C246D3"/>
    <w:rsid w:val="00C24767"/>
    <w:rsid w:val="00C24BC9"/>
    <w:rsid w:val="00C24D47"/>
    <w:rsid w:val="00C24FEE"/>
    <w:rsid w:val="00C2523E"/>
    <w:rsid w:val="00C253FD"/>
    <w:rsid w:val="00C2550F"/>
    <w:rsid w:val="00C2586C"/>
    <w:rsid w:val="00C25F24"/>
    <w:rsid w:val="00C26157"/>
    <w:rsid w:val="00C262EC"/>
    <w:rsid w:val="00C26559"/>
    <w:rsid w:val="00C26614"/>
    <w:rsid w:val="00C26819"/>
    <w:rsid w:val="00C268BA"/>
    <w:rsid w:val="00C26B6B"/>
    <w:rsid w:val="00C26BB6"/>
    <w:rsid w:val="00C26BB8"/>
    <w:rsid w:val="00C27022"/>
    <w:rsid w:val="00C27209"/>
    <w:rsid w:val="00C2740A"/>
    <w:rsid w:val="00C27441"/>
    <w:rsid w:val="00C27541"/>
    <w:rsid w:val="00C276B1"/>
    <w:rsid w:val="00C279CF"/>
    <w:rsid w:val="00C27A3B"/>
    <w:rsid w:val="00C27C43"/>
    <w:rsid w:val="00C27D49"/>
    <w:rsid w:val="00C27EBC"/>
    <w:rsid w:val="00C27EDA"/>
    <w:rsid w:val="00C27F71"/>
    <w:rsid w:val="00C30228"/>
    <w:rsid w:val="00C30425"/>
    <w:rsid w:val="00C30537"/>
    <w:rsid w:val="00C305EC"/>
    <w:rsid w:val="00C30B0C"/>
    <w:rsid w:val="00C30BBC"/>
    <w:rsid w:val="00C30FE1"/>
    <w:rsid w:val="00C30FFA"/>
    <w:rsid w:val="00C31148"/>
    <w:rsid w:val="00C311CA"/>
    <w:rsid w:val="00C31234"/>
    <w:rsid w:val="00C3135A"/>
    <w:rsid w:val="00C3157C"/>
    <w:rsid w:val="00C31691"/>
    <w:rsid w:val="00C3179B"/>
    <w:rsid w:val="00C31A4B"/>
    <w:rsid w:val="00C31B64"/>
    <w:rsid w:val="00C320E9"/>
    <w:rsid w:val="00C3219D"/>
    <w:rsid w:val="00C321A6"/>
    <w:rsid w:val="00C321FA"/>
    <w:rsid w:val="00C32816"/>
    <w:rsid w:val="00C32937"/>
    <w:rsid w:val="00C32A23"/>
    <w:rsid w:val="00C32BAD"/>
    <w:rsid w:val="00C32BEA"/>
    <w:rsid w:val="00C32CF0"/>
    <w:rsid w:val="00C32E04"/>
    <w:rsid w:val="00C32E9D"/>
    <w:rsid w:val="00C33296"/>
    <w:rsid w:val="00C333B5"/>
    <w:rsid w:val="00C333D7"/>
    <w:rsid w:val="00C334CC"/>
    <w:rsid w:val="00C33715"/>
    <w:rsid w:val="00C33851"/>
    <w:rsid w:val="00C33997"/>
    <w:rsid w:val="00C33A5C"/>
    <w:rsid w:val="00C33C5B"/>
    <w:rsid w:val="00C33CEC"/>
    <w:rsid w:val="00C33DCD"/>
    <w:rsid w:val="00C33F50"/>
    <w:rsid w:val="00C3402E"/>
    <w:rsid w:val="00C3479E"/>
    <w:rsid w:val="00C3492B"/>
    <w:rsid w:val="00C34B4D"/>
    <w:rsid w:val="00C34BC8"/>
    <w:rsid w:val="00C34D94"/>
    <w:rsid w:val="00C34DBF"/>
    <w:rsid w:val="00C34F1D"/>
    <w:rsid w:val="00C34F71"/>
    <w:rsid w:val="00C3537D"/>
    <w:rsid w:val="00C35480"/>
    <w:rsid w:val="00C35559"/>
    <w:rsid w:val="00C356A7"/>
    <w:rsid w:val="00C358A7"/>
    <w:rsid w:val="00C35A0B"/>
    <w:rsid w:val="00C3619D"/>
    <w:rsid w:val="00C361E2"/>
    <w:rsid w:val="00C362B5"/>
    <w:rsid w:val="00C36395"/>
    <w:rsid w:val="00C36665"/>
    <w:rsid w:val="00C3671E"/>
    <w:rsid w:val="00C3740C"/>
    <w:rsid w:val="00C376ED"/>
    <w:rsid w:val="00C37728"/>
    <w:rsid w:val="00C37845"/>
    <w:rsid w:val="00C378FD"/>
    <w:rsid w:val="00C3799A"/>
    <w:rsid w:val="00C37C58"/>
    <w:rsid w:val="00C37DF6"/>
    <w:rsid w:val="00C37E64"/>
    <w:rsid w:val="00C37E74"/>
    <w:rsid w:val="00C40521"/>
    <w:rsid w:val="00C40723"/>
    <w:rsid w:val="00C40D16"/>
    <w:rsid w:val="00C40ED0"/>
    <w:rsid w:val="00C41189"/>
    <w:rsid w:val="00C41198"/>
    <w:rsid w:val="00C4123C"/>
    <w:rsid w:val="00C4126C"/>
    <w:rsid w:val="00C4147A"/>
    <w:rsid w:val="00C414D6"/>
    <w:rsid w:val="00C414E5"/>
    <w:rsid w:val="00C417AD"/>
    <w:rsid w:val="00C41808"/>
    <w:rsid w:val="00C41B0A"/>
    <w:rsid w:val="00C41C15"/>
    <w:rsid w:val="00C41C78"/>
    <w:rsid w:val="00C41CD0"/>
    <w:rsid w:val="00C41DE1"/>
    <w:rsid w:val="00C41E44"/>
    <w:rsid w:val="00C41E7A"/>
    <w:rsid w:val="00C41F70"/>
    <w:rsid w:val="00C41FF1"/>
    <w:rsid w:val="00C41FF4"/>
    <w:rsid w:val="00C421CC"/>
    <w:rsid w:val="00C4221F"/>
    <w:rsid w:val="00C42856"/>
    <w:rsid w:val="00C4285B"/>
    <w:rsid w:val="00C428C0"/>
    <w:rsid w:val="00C42A90"/>
    <w:rsid w:val="00C42AC6"/>
    <w:rsid w:val="00C42ADB"/>
    <w:rsid w:val="00C42C19"/>
    <w:rsid w:val="00C42DE6"/>
    <w:rsid w:val="00C42E63"/>
    <w:rsid w:val="00C43010"/>
    <w:rsid w:val="00C4304E"/>
    <w:rsid w:val="00C431B0"/>
    <w:rsid w:val="00C43347"/>
    <w:rsid w:val="00C4337A"/>
    <w:rsid w:val="00C43384"/>
    <w:rsid w:val="00C43433"/>
    <w:rsid w:val="00C437AA"/>
    <w:rsid w:val="00C43927"/>
    <w:rsid w:val="00C43AED"/>
    <w:rsid w:val="00C43BA7"/>
    <w:rsid w:val="00C43BE8"/>
    <w:rsid w:val="00C43FE5"/>
    <w:rsid w:val="00C44266"/>
    <w:rsid w:val="00C4446C"/>
    <w:rsid w:val="00C4458A"/>
    <w:rsid w:val="00C44710"/>
    <w:rsid w:val="00C44793"/>
    <w:rsid w:val="00C44905"/>
    <w:rsid w:val="00C44CAD"/>
    <w:rsid w:val="00C44CD3"/>
    <w:rsid w:val="00C44E99"/>
    <w:rsid w:val="00C457BB"/>
    <w:rsid w:val="00C45841"/>
    <w:rsid w:val="00C459FE"/>
    <w:rsid w:val="00C45AC3"/>
    <w:rsid w:val="00C45B67"/>
    <w:rsid w:val="00C45C24"/>
    <w:rsid w:val="00C45CCB"/>
    <w:rsid w:val="00C45DD1"/>
    <w:rsid w:val="00C45F58"/>
    <w:rsid w:val="00C4630A"/>
    <w:rsid w:val="00C46407"/>
    <w:rsid w:val="00C465C1"/>
    <w:rsid w:val="00C468C0"/>
    <w:rsid w:val="00C46BFE"/>
    <w:rsid w:val="00C46EFE"/>
    <w:rsid w:val="00C47145"/>
    <w:rsid w:val="00C47153"/>
    <w:rsid w:val="00C472C3"/>
    <w:rsid w:val="00C475A7"/>
    <w:rsid w:val="00C47805"/>
    <w:rsid w:val="00C47D0F"/>
    <w:rsid w:val="00C47F47"/>
    <w:rsid w:val="00C47F6E"/>
    <w:rsid w:val="00C50233"/>
    <w:rsid w:val="00C50257"/>
    <w:rsid w:val="00C502E0"/>
    <w:rsid w:val="00C50414"/>
    <w:rsid w:val="00C504D6"/>
    <w:rsid w:val="00C50526"/>
    <w:rsid w:val="00C508D0"/>
    <w:rsid w:val="00C5097C"/>
    <w:rsid w:val="00C50B8A"/>
    <w:rsid w:val="00C50E1E"/>
    <w:rsid w:val="00C50E84"/>
    <w:rsid w:val="00C513C7"/>
    <w:rsid w:val="00C51784"/>
    <w:rsid w:val="00C517F2"/>
    <w:rsid w:val="00C519F1"/>
    <w:rsid w:val="00C51A05"/>
    <w:rsid w:val="00C51AFA"/>
    <w:rsid w:val="00C51B6E"/>
    <w:rsid w:val="00C51DC5"/>
    <w:rsid w:val="00C51E1F"/>
    <w:rsid w:val="00C51F52"/>
    <w:rsid w:val="00C51FA0"/>
    <w:rsid w:val="00C524D8"/>
    <w:rsid w:val="00C52545"/>
    <w:rsid w:val="00C52750"/>
    <w:rsid w:val="00C528E3"/>
    <w:rsid w:val="00C52931"/>
    <w:rsid w:val="00C52D20"/>
    <w:rsid w:val="00C53101"/>
    <w:rsid w:val="00C53236"/>
    <w:rsid w:val="00C5324F"/>
    <w:rsid w:val="00C532BC"/>
    <w:rsid w:val="00C53493"/>
    <w:rsid w:val="00C53661"/>
    <w:rsid w:val="00C537BC"/>
    <w:rsid w:val="00C53A1F"/>
    <w:rsid w:val="00C53E7B"/>
    <w:rsid w:val="00C53F6E"/>
    <w:rsid w:val="00C54568"/>
    <w:rsid w:val="00C54897"/>
    <w:rsid w:val="00C549D4"/>
    <w:rsid w:val="00C54E63"/>
    <w:rsid w:val="00C54E8C"/>
    <w:rsid w:val="00C5568F"/>
    <w:rsid w:val="00C556BC"/>
    <w:rsid w:val="00C55775"/>
    <w:rsid w:val="00C557C4"/>
    <w:rsid w:val="00C55B5B"/>
    <w:rsid w:val="00C55C15"/>
    <w:rsid w:val="00C55E2D"/>
    <w:rsid w:val="00C562B5"/>
    <w:rsid w:val="00C56310"/>
    <w:rsid w:val="00C56930"/>
    <w:rsid w:val="00C56C1C"/>
    <w:rsid w:val="00C56D54"/>
    <w:rsid w:val="00C56FA0"/>
    <w:rsid w:val="00C5702D"/>
    <w:rsid w:val="00C5705E"/>
    <w:rsid w:val="00C570F7"/>
    <w:rsid w:val="00C57302"/>
    <w:rsid w:val="00C5733B"/>
    <w:rsid w:val="00C57348"/>
    <w:rsid w:val="00C574C6"/>
    <w:rsid w:val="00C576CE"/>
    <w:rsid w:val="00C577B7"/>
    <w:rsid w:val="00C5782E"/>
    <w:rsid w:val="00C5785F"/>
    <w:rsid w:val="00C57895"/>
    <w:rsid w:val="00C57BB2"/>
    <w:rsid w:val="00C57FEC"/>
    <w:rsid w:val="00C60086"/>
    <w:rsid w:val="00C6015A"/>
    <w:rsid w:val="00C602F2"/>
    <w:rsid w:val="00C60567"/>
    <w:rsid w:val="00C60715"/>
    <w:rsid w:val="00C60748"/>
    <w:rsid w:val="00C60D1D"/>
    <w:rsid w:val="00C60EAA"/>
    <w:rsid w:val="00C60F4A"/>
    <w:rsid w:val="00C60F59"/>
    <w:rsid w:val="00C61074"/>
    <w:rsid w:val="00C610F3"/>
    <w:rsid w:val="00C6110A"/>
    <w:rsid w:val="00C61262"/>
    <w:rsid w:val="00C61312"/>
    <w:rsid w:val="00C6134F"/>
    <w:rsid w:val="00C6140C"/>
    <w:rsid w:val="00C61442"/>
    <w:rsid w:val="00C61877"/>
    <w:rsid w:val="00C6196D"/>
    <w:rsid w:val="00C61A63"/>
    <w:rsid w:val="00C61F4B"/>
    <w:rsid w:val="00C62134"/>
    <w:rsid w:val="00C6226D"/>
    <w:rsid w:val="00C6230C"/>
    <w:rsid w:val="00C6278F"/>
    <w:rsid w:val="00C62A76"/>
    <w:rsid w:val="00C62B1B"/>
    <w:rsid w:val="00C62DEC"/>
    <w:rsid w:val="00C62E27"/>
    <w:rsid w:val="00C6303B"/>
    <w:rsid w:val="00C6330F"/>
    <w:rsid w:val="00C633F2"/>
    <w:rsid w:val="00C6341A"/>
    <w:rsid w:val="00C6354C"/>
    <w:rsid w:val="00C63606"/>
    <w:rsid w:val="00C6366B"/>
    <w:rsid w:val="00C636BB"/>
    <w:rsid w:val="00C63B0A"/>
    <w:rsid w:val="00C63CAD"/>
    <w:rsid w:val="00C63DAC"/>
    <w:rsid w:val="00C63DAD"/>
    <w:rsid w:val="00C6401E"/>
    <w:rsid w:val="00C64180"/>
    <w:rsid w:val="00C642BD"/>
    <w:rsid w:val="00C64673"/>
    <w:rsid w:val="00C647D0"/>
    <w:rsid w:val="00C64874"/>
    <w:rsid w:val="00C64D5A"/>
    <w:rsid w:val="00C65416"/>
    <w:rsid w:val="00C65591"/>
    <w:rsid w:val="00C655DB"/>
    <w:rsid w:val="00C65866"/>
    <w:rsid w:val="00C65AB6"/>
    <w:rsid w:val="00C65B64"/>
    <w:rsid w:val="00C65ED5"/>
    <w:rsid w:val="00C662D2"/>
    <w:rsid w:val="00C664E8"/>
    <w:rsid w:val="00C66693"/>
    <w:rsid w:val="00C66886"/>
    <w:rsid w:val="00C66915"/>
    <w:rsid w:val="00C66C18"/>
    <w:rsid w:val="00C66FB8"/>
    <w:rsid w:val="00C674CA"/>
    <w:rsid w:val="00C678AF"/>
    <w:rsid w:val="00C678F2"/>
    <w:rsid w:val="00C67A45"/>
    <w:rsid w:val="00C67C72"/>
    <w:rsid w:val="00C67D32"/>
    <w:rsid w:val="00C67F93"/>
    <w:rsid w:val="00C70239"/>
    <w:rsid w:val="00C7033A"/>
    <w:rsid w:val="00C706C8"/>
    <w:rsid w:val="00C70AAD"/>
    <w:rsid w:val="00C70AEA"/>
    <w:rsid w:val="00C70C03"/>
    <w:rsid w:val="00C71129"/>
    <w:rsid w:val="00C7152B"/>
    <w:rsid w:val="00C7175C"/>
    <w:rsid w:val="00C7180A"/>
    <w:rsid w:val="00C7186B"/>
    <w:rsid w:val="00C718CA"/>
    <w:rsid w:val="00C71CFA"/>
    <w:rsid w:val="00C71D92"/>
    <w:rsid w:val="00C71E58"/>
    <w:rsid w:val="00C71E7E"/>
    <w:rsid w:val="00C71FDB"/>
    <w:rsid w:val="00C72816"/>
    <w:rsid w:val="00C72902"/>
    <w:rsid w:val="00C729A8"/>
    <w:rsid w:val="00C72AFA"/>
    <w:rsid w:val="00C72D9B"/>
    <w:rsid w:val="00C72DF9"/>
    <w:rsid w:val="00C72FA6"/>
    <w:rsid w:val="00C72FB3"/>
    <w:rsid w:val="00C7317A"/>
    <w:rsid w:val="00C73197"/>
    <w:rsid w:val="00C73485"/>
    <w:rsid w:val="00C734BB"/>
    <w:rsid w:val="00C73505"/>
    <w:rsid w:val="00C735C9"/>
    <w:rsid w:val="00C7363F"/>
    <w:rsid w:val="00C736C5"/>
    <w:rsid w:val="00C73783"/>
    <w:rsid w:val="00C737FC"/>
    <w:rsid w:val="00C73C71"/>
    <w:rsid w:val="00C73DFA"/>
    <w:rsid w:val="00C73EC2"/>
    <w:rsid w:val="00C73F03"/>
    <w:rsid w:val="00C73FF8"/>
    <w:rsid w:val="00C7430A"/>
    <w:rsid w:val="00C7441D"/>
    <w:rsid w:val="00C745D1"/>
    <w:rsid w:val="00C74726"/>
    <w:rsid w:val="00C747D2"/>
    <w:rsid w:val="00C74BC6"/>
    <w:rsid w:val="00C7503D"/>
    <w:rsid w:val="00C750D7"/>
    <w:rsid w:val="00C75573"/>
    <w:rsid w:val="00C755BF"/>
    <w:rsid w:val="00C7576D"/>
    <w:rsid w:val="00C757FD"/>
    <w:rsid w:val="00C758BC"/>
    <w:rsid w:val="00C75C75"/>
    <w:rsid w:val="00C75FAC"/>
    <w:rsid w:val="00C760CA"/>
    <w:rsid w:val="00C763E3"/>
    <w:rsid w:val="00C7645D"/>
    <w:rsid w:val="00C764C2"/>
    <w:rsid w:val="00C766E0"/>
    <w:rsid w:val="00C76D92"/>
    <w:rsid w:val="00C76DAA"/>
    <w:rsid w:val="00C76E2F"/>
    <w:rsid w:val="00C76E51"/>
    <w:rsid w:val="00C76EAE"/>
    <w:rsid w:val="00C76F8C"/>
    <w:rsid w:val="00C7716D"/>
    <w:rsid w:val="00C771A2"/>
    <w:rsid w:val="00C771E3"/>
    <w:rsid w:val="00C77544"/>
    <w:rsid w:val="00C77552"/>
    <w:rsid w:val="00C77CBC"/>
    <w:rsid w:val="00C77D74"/>
    <w:rsid w:val="00C77E89"/>
    <w:rsid w:val="00C77ED9"/>
    <w:rsid w:val="00C80069"/>
    <w:rsid w:val="00C800F0"/>
    <w:rsid w:val="00C80240"/>
    <w:rsid w:val="00C80325"/>
    <w:rsid w:val="00C80958"/>
    <w:rsid w:val="00C8099A"/>
    <w:rsid w:val="00C80A77"/>
    <w:rsid w:val="00C80C9B"/>
    <w:rsid w:val="00C80DD7"/>
    <w:rsid w:val="00C80F58"/>
    <w:rsid w:val="00C80F79"/>
    <w:rsid w:val="00C81995"/>
    <w:rsid w:val="00C81CDA"/>
    <w:rsid w:val="00C81FA7"/>
    <w:rsid w:val="00C82215"/>
    <w:rsid w:val="00C82232"/>
    <w:rsid w:val="00C823B9"/>
    <w:rsid w:val="00C82551"/>
    <w:rsid w:val="00C82826"/>
    <w:rsid w:val="00C82CDE"/>
    <w:rsid w:val="00C82EA4"/>
    <w:rsid w:val="00C83037"/>
    <w:rsid w:val="00C830C8"/>
    <w:rsid w:val="00C83111"/>
    <w:rsid w:val="00C8311F"/>
    <w:rsid w:val="00C8312C"/>
    <w:rsid w:val="00C83412"/>
    <w:rsid w:val="00C83568"/>
    <w:rsid w:val="00C8387A"/>
    <w:rsid w:val="00C83A24"/>
    <w:rsid w:val="00C83A7D"/>
    <w:rsid w:val="00C83BCA"/>
    <w:rsid w:val="00C83C59"/>
    <w:rsid w:val="00C83DB5"/>
    <w:rsid w:val="00C83F1B"/>
    <w:rsid w:val="00C84196"/>
    <w:rsid w:val="00C84332"/>
    <w:rsid w:val="00C84423"/>
    <w:rsid w:val="00C844A0"/>
    <w:rsid w:val="00C845A4"/>
    <w:rsid w:val="00C845C3"/>
    <w:rsid w:val="00C84802"/>
    <w:rsid w:val="00C84A94"/>
    <w:rsid w:val="00C84B5C"/>
    <w:rsid w:val="00C84B99"/>
    <w:rsid w:val="00C84D24"/>
    <w:rsid w:val="00C84D81"/>
    <w:rsid w:val="00C84FA2"/>
    <w:rsid w:val="00C85234"/>
    <w:rsid w:val="00C85236"/>
    <w:rsid w:val="00C854DB"/>
    <w:rsid w:val="00C855DB"/>
    <w:rsid w:val="00C856CB"/>
    <w:rsid w:val="00C85AEB"/>
    <w:rsid w:val="00C85C33"/>
    <w:rsid w:val="00C85C3D"/>
    <w:rsid w:val="00C85CA7"/>
    <w:rsid w:val="00C85CAF"/>
    <w:rsid w:val="00C85ED9"/>
    <w:rsid w:val="00C85F76"/>
    <w:rsid w:val="00C8608A"/>
    <w:rsid w:val="00C8616D"/>
    <w:rsid w:val="00C86435"/>
    <w:rsid w:val="00C8655F"/>
    <w:rsid w:val="00C8656B"/>
    <w:rsid w:val="00C8669A"/>
    <w:rsid w:val="00C866CE"/>
    <w:rsid w:val="00C86798"/>
    <w:rsid w:val="00C8685B"/>
    <w:rsid w:val="00C86A42"/>
    <w:rsid w:val="00C86A87"/>
    <w:rsid w:val="00C86B50"/>
    <w:rsid w:val="00C86E28"/>
    <w:rsid w:val="00C86F8D"/>
    <w:rsid w:val="00C86FB6"/>
    <w:rsid w:val="00C8719E"/>
    <w:rsid w:val="00C87592"/>
    <w:rsid w:val="00C8773B"/>
    <w:rsid w:val="00C87913"/>
    <w:rsid w:val="00C879C0"/>
    <w:rsid w:val="00C879DE"/>
    <w:rsid w:val="00C87A12"/>
    <w:rsid w:val="00C87DBD"/>
    <w:rsid w:val="00C87E8C"/>
    <w:rsid w:val="00C90117"/>
    <w:rsid w:val="00C902A6"/>
    <w:rsid w:val="00C9036C"/>
    <w:rsid w:val="00C90482"/>
    <w:rsid w:val="00C904E2"/>
    <w:rsid w:val="00C906FD"/>
    <w:rsid w:val="00C90706"/>
    <w:rsid w:val="00C908E1"/>
    <w:rsid w:val="00C9091C"/>
    <w:rsid w:val="00C90A0B"/>
    <w:rsid w:val="00C90B77"/>
    <w:rsid w:val="00C90B84"/>
    <w:rsid w:val="00C90C79"/>
    <w:rsid w:val="00C90CF9"/>
    <w:rsid w:val="00C91307"/>
    <w:rsid w:val="00C915DD"/>
    <w:rsid w:val="00C918ED"/>
    <w:rsid w:val="00C919FA"/>
    <w:rsid w:val="00C92014"/>
    <w:rsid w:val="00C92140"/>
    <w:rsid w:val="00C921F9"/>
    <w:rsid w:val="00C92201"/>
    <w:rsid w:val="00C92242"/>
    <w:rsid w:val="00C923E9"/>
    <w:rsid w:val="00C92530"/>
    <w:rsid w:val="00C92573"/>
    <w:rsid w:val="00C9270D"/>
    <w:rsid w:val="00C92ADF"/>
    <w:rsid w:val="00C92B56"/>
    <w:rsid w:val="00C92DED"/>
    <w:rsid w:val="00C92FD5"/>
    <w:rsid w:val="00C92FFB"/>
    <w:rsid w:val="00C9302B"/>
    <w:rsid w:val="00C930ED"/>
    <w:rsid w:val="00C932B1"/>
    <w:rsid w:val="00C933FE"/>
    <w:rsid w:val="00C9364E"/>
    <w:rsid w:val="00C938A9"/>
    <w:rsid w:val="00C939D4"/>
    <w:rsid w:val="00C93D55"/>
    <w:rsid w:val="00C93D7D"/>
    <w:rsid w:val="00C93DB2"/>
    <w:rsid w:val="00C93FFE"/>
    <w:rsid w:val="00C94014"/>
    <w:rsid w:val="00C9416F"/>
    <w:rsid w:val="00C94227"/>
    <w:rsid w:val="00C94245"/>
    <w:rsid w:val="00C94375"/>
    <w:rsid w:val="00C945F5"/>
    <w:rsid w:val="00C947CD"/>
    <w:rsid w:val="00C94876"/>
    <w:rsid w:val="00C949BE"/>
    <w:rsid w:val="00C949CA"/>
    <w:rsid w:val="00C949E3"/>
    <w:rsid w:val="00C94A3B"/>
    <w:rsid w:val="00C94A81"/>
    <w:rsid w:val="00C94D7D"/>
    <w:rsid w:val="00C94FD1"/>
    <w:rsid w:val="00C95187"/>
    <w:rsid w:val="00C951F1"/>
    <w:rsid w:val="00C955E4"/>
    <w:rsid w:val="00C956F9"/>
    <w:rsid w:val="00C95738"/>
    <w:rsid w:val="00C959C2"/>
    <w:rsid w:val="00C95D7B"/>
    <w:rsid w:val="00C95DEE"/>
    <w:rsid w:val="00C9661F"/>
    <w:rsid w:val="00C9680A"/>
    <w:rsid w:val="00C96856"/>
    <w:rsid w:val="00C9699F"/>
    <w:rsid w:val="00C96A4A"/>
    <w:rsid w:val="00C96D03"/>
    <w:rsid w:val="00C9775B"/>
    <w:rsid w:val="00C97777"/>
    <w:rsid w:val="00C9795F"/>
    <w:rsid w:val="00C979F0"/>
    <w:rsid w:val="00C97A98"/>
    <w:rsid w:val="00C97F66"/>
    <w:rsid w:val="00CA0492"/>
    <w:rsid w:val="00CA0948"/>
    <w:rsid w:val="00CA0D47"/>
    <w:rsid w:val="00CA0D7D"/>
    <w:rsid w:val="00CA0F17"/>
    <w:rsid w:val="00CA1028"/>
    <w:rsid w:val="00CA1102"/>
    <w:rsid w:val="00CA1B0A"/>
    <w:rsid w:val="00CA1E8B"/>
    <w:rsid w:val="00CA20B6"/>
    <w:rsid w:val="00CA210B"/>
    <w:rsid w:val="00CA2215"/>
    <w:rsid w:val="00CA2602"/>
    <w:rsid w:val="00CA262E"/>
    <w:rsid w:val="00CA27A0"/>
    <w:rsid w:val="00CA2838"/>
    <w:rsid w:val="00CA295A"/>
    <w:rsid w:val="00CA2B93"/>
    <w:rsid w:val="00CA2DA1"/>
    <w:rsid w:val="00CA2E1D"/>
    <w:rsid w:val="00CA2F24"/>
    <w:rsid w:val="00CA2F2B"/>
    <w:rsid w:val="00CA3044"/>
    <w:rsid w:val="00CA32C9"/>
    <w:rsid w:val="00CA34E2"/>
    <w:rsid w:val="00CA34FE"/>
    <w:rsid w:val="00CA3B26"/>
    <w:rsid w:val="00CA3D01"/>
    <w:rsid w:val="00CA3D06"/>
    <w:rsid w:val="00CA462F"/>
    <w:rsid w:val="00CA476D"/>
    <w:rsid w:val="00CA48BA"/>
    <w:rsid w:val="00CA4972"/>
    <w:rsid w:val="00CA4979"/>
    <w:rsid w:val="00CA4A83"/>
    <w:rsid w:val="00CA4FBC"/>
    <w:rsid w:val="00CA503E"/>
    <w:rsid w:val="00CA5322"/>
    <w:rsid w:val="00CA53AD"/>
    <w:rsid w:val="00CA53B4"/>
    <w:rsid w:val="00CA5584"/>
    <w:rsid w:val="00CA5733"/>
    <w:rsid w:val="00CA5795"/>
    <w:rsid w:val="00CA57E8"/>
    <w:rsid w:val="00CA5D00"/>
    <w:rsid w:val="00CA5F42"/>
    <w:rsid w:val="00CA5F74"/>
    <w:rsid w:val="00CA6063"/>
    <w:rsid w:val="00CA608C"/>
    <w:rsid w:val="00CA6451"/>
    <w:rsid w:val="00CA6765"/>
    <w:rsid w:val="00CA688C"/>
    <w:rsid w:val="00CA6A42"/>
    <w:rsid w:val="00CA6BBB"/>
    <w:rsid w:val="00CA6E47"/>
    <w:rsid w:val="00CA6F1C"/>
    <w:rsid w:val="00CA744D"/>
    <w:rsid w:val="00CA745F"/>
    <w:rsid w:val="00CA7670"/>
    <w:rsid w:val="00CA7744"/>
    <w:rsid w:val="00CA7752"/>
    <w:rsid w:val="00CA77B4"/>
    <w:rsid w:val="00CA7EE5"/>
    <w:rsid w:val="00CB0055"/>
    <w:rsid w:val="00CB01CB"/>
    <w:rsid w:val="00CB01E3"/>
    <w:rsid w:val="00CB05A4"/>
    <w:rsid w:val="00CB05B3"/>
    <w:rsid w:val="00CB0AEE"/>
    <w:rsid w:val="00CB0C82"/>
    <w:rsid w:val="00CB0D41"/>
    <w:rsid w:val="00CB0DDA"/>
    <w:rsid w:val="00CB107B"/>
    <w:rsid w:val="00CB10CD"/>
    <w:rsid w:val="00CB125D"/>
    <w:rsid w:val="00CB13A5"/>
    <w:rsid w:val="00CB13B8"/>
    <w:rsid w:val="00CB1729"/>
    <w:rsid w:val="00CB172A"/>
    <w:rsid w:val="00CB1A7D"/>
    <w:rsid w:val="00CB1B3B"/>
    <w:rsid w:val="00CB1F47"/>
    <w:rsid w:val="00CB2010"/>
    <w:rsid w:val="00CB211A"/>
    <w:rsid w:val="00CB2420"/>
    <w:rsid w:val="00CB244D"/>
    <w:rsid w:val="00CB2465"/>
    <w:rsid w:val="00CB2B15"/>
    <w:rsid w:val="00CB2E61"/>
    <w:rsid w:val="00CB2EC7"/>
    <w:rsid w:val="00CB2FF4"/>
    <w:rsid w:val="00CB302B"/>
    <w:rsid w:val="00CB3407"/>
    <w:rsid w:val="00CB35F7"/>
    <w:rsid w:val="00CB37B7"/>
    <w:rsid w:val="00CB3968"/>
    <w:rsid w:val="00CB39DB"/>
    <w:rsid w:val="00CB3A8A"/>
    <w:rsid w:val="00CB3DCD"/>
    <w:rsid w:val="00CB3E94"/>
    <w:rsid w:val="00CB3ECF"/>
    <w:rsid w:val="00CB3F9A"/>
    <w:rsid w:val="00CB42B6"/>
    <w:rsid w:val="00CB433A"/>
    <w:rsid w:val="00CB438A"/>
    <w:rsid w:val="00CB47C8"/>
    <w:rsid w:val="00CB488B"/>
    <w:rsid w:val="00CB49AB"/>
    <w:rsid w:val="00CB4B9E"/>
    <w:rsid w:val="00CB4BAF"/>
    <w:rsid w:val="00CB4C95"/>
    <w:rsid w:val="00CB4DE7"/>
    <w:rsid w:val="00CB4EC9"/>
    <w:rsid w:val="00CB5189"/>
    <w:rsid w:val="00CB5290"/>
    <w:rsid w:val="00CB5681"/>
    <w:rsid w:val="00CB5709"/>
    <w:rsid w:val="00CB5B73"/>
    <w:rsid w:val="00CB5C3A"/>
    <w:rsid w:val="00CB5E6C"/>
    <w:rsid w:val="00CB6059"/>
    <w:rsid w:val="00CB6232"/>
    <w:rsid w:val="00CB649C"/>
    <w:rsid w:val="00CB65AD"/>
    <w:rsid w:val="00CB67F6"/>
    <w:rsid w:val="00CB6A7C"/>
    <w:rsid w:val="00CB6BB7"/>
    <w:rsid w:val="00CB6E4C"/>
    <w:rsid w:val="00CB6EAA"/>
    <w:rsid w:val="00CB6F1B"/>
    <w:rsid w:val="00CB6F68"/>
    <w:rsid w:val="00CB7AB1"/>
    <w:rsid w:val="00CB7E4D"/>
    <w:rsid w:val="00CC01BD"/>
    <w:rsid w:val="00CC032B"/>
    <w:rsid w:val="00CC0340"/>
    <w:rsid w:val="00CC0511"/>
    <w:rsid w:val="00CC064A"/>
    <w:rsid w:val="00CC0661"/>
    <w:rsid w:val="00CC088F"/>
    <w:rsid w:val="00CC092C"/>
    <w:rsid w:val="00CC0E17"/>
    <w:rsid w:val="00CC0F0B"/>
    <w:rsid w:val="00CC11CD"/>
    <w:rsid w:val="00CC1312"/>
    <w:rsid w:val="00CC146F"/>
    <w:rsid w:val="00CC163F"/>
    <w:rsid w:val="00CC188B"/>
    <w:rsid w:val="00CC1967"/>
    <w:rsid w:val="00CC1DDC"/>
    <w:rsid w:val="00CC1EB4"/>
    <w:rsid w:val="00CC1FE4"/>
    <w:rsid w:val="00CC2076"/>
    <w:rsid w:val="00CC21B6"/>
    <w:rsid w:val="00CC2684"/>
    <w:rsid w:val="00CC26B8"/>
    <w:rsid w:val="00CC2A9E"/>
    <w:rsid w:val="00CC2DB5"/>
    <w:rsid w:val="00CC2DE3"/>
    <w:rsid w:val="00CC311F"/>
    <w:rsid w:val="00CC3406"/>
    <w:rsid w:val="00CC35EE"/>
    <w:rsid w:val="00CC36D4"/>
    <w:rsid w:val="00CC3789"/>
    <w:rsid w:val="00CC3870"/>
    <w:rsid w:val="00CC3AD4"/>
    <w:rsid w:val="00CC3B55"/>
    <w:rsid w:val="00CC3F5E"/>
    <w:rsid w:val="00CC3F81"/>
    <w:rsid w:val="00CC400C"/>
    <w:rsid w:val="00CC4223"/>
    <w:rsid w:val="00CC45C9"/>
    <w:rsid w:val="00CC4BC3"/>
    <w:rsid w:val="00CC4CE0"/>
    <w:rsid w:val="00CC4F5F"/>
    <w:rsid w:val="00CC54CF"/>
    <w:rsid w:val="00CC56A8"/>
    <w:rsid w:val="00CC57FC"/>
    <w:rsid w:val="00CC583F"/>
    <w:rsid w:val="00CC5B40"/>
    <w:rsid w:val="00CC5C9F"/>
    <w:rsid w:val="00CC5D81"/>
    <w:rsid w:val="00CC5EFE"/>
    <w:rsid w:val="00CC5FA7"/>
    <w:rsid w:val="00CC6115"/>
    <w:rsid w:val="00CC647B"/>
    <w:rsid w:val="00CC6687"/>
    <w:rsid w:val="00CC66FC"/>
    <w:rsid w:val="00CC6761"/>
    <w:rsid w:val="00CC6843"/>
    <w:rsid w:val="00CC6B5F"/>
    <w:rsid w:val="00CC6CC1"/>
    <w:rsid w:val="00CC6CC4"/>
    <w:rsid w:val="00CC6D7E"/>
    <w:rsid w:val="00CC6F9A"/>
    <w:rsid w:val="00CC732A"/>
    <w:rsid w:val="00CC73E6"/>
    <w:rsid w:val="00CC7506"/>
    <w:rsid w:val="00CC77D1"/>
    <w:rsid w:val="00CC7C5A"/>
    <w:rsid w:val="00CC7DFE"/>
    <w:rsid w:val="00CD006F"/>
    <w:rsid w:val="00CD028D"/>
    <w:rsid w:val="00CD0638"/>
    <w:rsid w:val="00CD063D"/>
    <w:rsid w:val="00CD07F5"/>
    <w:rsid w:val="00CD0829"/>
    <w:rsid w:val="00CD091B"/>
    <w:rsid w:val="00CD0A04"/>
    <w:rsid w:val="00CD0AF1"/>
    <w:rsid w:val="00CD0D7A"/>
    <w:rsid w:val="00CD1057"/>
    <w:rsid w:val="00CD10E7"/>
    <w:rsid w:val="00CD1113"/>
    <w:rsid w:val="00CD11D6"/>
    <w:rsid w:val="00CD122A"/>
    <w:rsid w:val="00CD127B"/>
    <w:rsid w:val="00CD1839"/>
    <w:rsid w:val="00CD1884"/>
    <w:rsid w:val="00CD1A9F"/>
    <w:rsid w:val="00CD1B23"/>
    <w:rsid w:val="00CD2235"/>
    <w:rsid w:val="00CD239A"/>
    <w:rsid w:val="00CD2509"/>
    <w:rsid w:val="00CD275F"/>
    <w:rsid w:val="00CD2891"/>
    <w:rsid w:val="00CD28D2"/>
    <w:rsid w:val="00CD2A03"/>
    <w:rsid w:val="00CD2B09"/>
    <w:rsid w:val="00CD2DCF"/>
    <w:rsid w:val="00CD2EFA"/>
    <w:rsid w:val="00CD2F74"/>
    <w:rsid w:val="00CD31AA"/>
    <w:rsid w:val="00CD31B7"/>
    <w:rsid w:val="00CD31BA"/>
    <w:rsid w:val="00CD34F9"/>
    <w:rsid w:val="00CD39A4"/>
    <w:rsid w:val="00CD3A62"/>
    <w:rsid w:val="00CD4296"/>
    <w:rsid w:val="00CD448F"/>
    <w:rsid w:val="00CD455E"/>
    <w:rsid w:val="00CD45F1"/>
    <w:rsid w:val="00CD478D"/>
    <w:rsid w:val="00CD480C"/>
    <w:rsid w:val="00CD4952"/>
    <w:rsid w:val="00CD4AD3"/>
    <w:rsid w:val="00CD4BE9"/>
    <w:rsid w:val="00CD4D4B"/>
    <w:rsid w:val="00CD4EB8"/>
    <w:rsid w:val="00CD521F"/>
    <w:rsid w:val="00CD5340"/>
    <w:rsid w:val="00CD549B"/>
    <w:rsid w:val="00CD5555"/>
    <w:rsid w:val="00CD57AF"/>
    <w:rsid w:val="00CD58FC"/>
    <w:rsid w:val="00CD59C9"/>
    <w:rsid w:val="00CD5A89"/>
    <w:rsid w:val="00CD5D62"/>
    <w:rsid w:val="00CD5E2D"/>
    <w:rsid w:val="00CD5EFA"/>
    <w:rsid w:val="00CD5F18"/>
    <w:rsid w:val="00CD5FCD"/>
    <w:rsid w:val="00CD6018"/>
    <w:rsid w:val="00CD61D0"/>
    <w:rsid w:val="00CD6221"/>
    <w:rsid w:val="00CD6465"/>
    <w:rsid w:val="00CD6518"/>
    <w:rsid w:val="00CD66C3"/>
    <w:rsid w:val="00CD66EE"/>
    <w:rsid w:val="00CD67EF"/>
    <w:rsid w:val="00CD690A"/>
    <w:rsid w:val="00CD6AAF"/>
    <w:rsid w:val="00CD6AD5"/>
    <w:rsid w:val="00CD6EDA"/>
    <w:rsid w:val="00CD75A8"/>
    <w:rsid w:val="00CD76A4"/>
    <w:rsid w:val="00CD7784"/>
    <w:rsid w:val="00CE00F4"/>
    <w:rsid w:val="00CE091F"/>
    <w:rsid w:val="00CE0982"/>
    <w:rsid w:val="00CE0AF2"/>
    <w:rsid w:val="00CE0D86"/>
    <w:rsid w:val="00CE0EB8"/>
    <w:rsid w:val="00CE111D"/>
    <w:rsid w:val="00CE1981"/>
    <w:rsid w:val="00CE1B20"/>
    <w:rsid w:val="00CE1B85"/>
    <w:rsid w:val="00CE23A3"/>
    <w:rsid w:val="00CE23BD"/>
    <w:rsid w:val="00CE25D0"/>
    <w:rsid w:val="00CE2B17"/>
    <w:rsid w:val="00CE2C6D"/>
    <w:rsid w:val="00CE325D"/>
    <w:rsid w:val="00CE3567"/>
    <w:rsid w:val="00CE3667"/>
    <w:rsid w:val="00CE3745"/>
    <w:rsid w:val="00CE3914"/>
    <w:rsid w:val="00CE3E87"/>
    <w:rsid w:val="00CE3FA4"/>
    <w:rsid w:val="00CE418F"/>
    <w:rsid w:val="00CE41F5"/>
    <w:rsid w:val="00CE424F"/>
    <w:rsid w:val="00CE46FA"/>
    <w:rsid w:val="00CE4930"/>
    <w:rsid w:val="00CE493A"/>
    <w:rsid w:val="00CE4A4F"/>
    <w:rsid w:val="00CE4B54"/>
    <w:rsid w:val="00CE4DEB"/>
    <w:rsid w:val="00CE4E7C"/>
    <w:rsid w:val="00CE4ED3"/>
    <w:rsid w:val="00CE4F0A"/>
    <w:rsid w:val="00CE5351"/>
    <w:rsid w:val="00CE5613"/>
    <w:rsid w:val="00CE56A1"/>
    <w:rsid w:val="00CE56ED"/>
    <w:rsid w:val="00CE592F"/>
    <w:rsid w:val="00CE5C02"/>
    <w:rsid w:val="00CE5C58"/>
    <w:rsid w:val="00CE5D92"/>
    <w:rsid w:val="00CE5DBF"/>
    <w:rsid w:val="00CE5F11"/>
    <w:rsid w:val="00CE6021"/>
    <w:rsid w:val="00CE6388"/>
    <w:rsid w:val="00CE6491"/>
    <w:rsid w:val="00CE64D8"/>
    <w:rsid w:val="00CE65C2"/>
    <w:rsid w:val="00CE664E"/>
    <w:rsid w:val="00CE68DC"/>
    <w:rsid w:val="00CE6AFD"/>
    <w:rsid w:val="00CE6EF8"/>
    <w:rsid w:val="00CE7259"/>
    <w:rsid w:val="00CE74FF"/>
    <w:rsid w:val="00CE764A"/>
    <w:rsid w:val="00CE7B52"/>
    <w:rsid w:val="00CF0164"/>
    <w:rsid w:val="00CF01F9"/>
    <w:rsid w:val="00CF0375"/>
    <w:rsid w:val="00CF07D5"/>
    <w:rsid w:val="00CF092C"/>
    <w:rsid w:val="00CF0F4F"/>
    <w:rsid w:val="00CF1154"/>
    <w:rsid w:val="00CF12DA"/>
    <w:rsid w:val="00CF14C8"/>
    <w:rsid w:val="00CF14EE"/>
    <w:rsid w:val="00CF19CE"/>
    <w:rsid w:val="00CF1BB9"/>
    <w:rsid w:val="00CF2005"/>
    <w:rsid w:val="00CF22A2"/>
    <w:rsid w:val="00CF238F"/>
    <w:rsid w:val="00CF27F3"/>
    <w:rsid w:val="00CF2ABE"/>
    <w:rsid w:val="00CF2B65"/>
    <w:rsid w:val="00CF2B8A"/>
    <w:rsid w:val="00CF2CA2"/>
    <w:rsid w:val="00CF2E2F"/>
    <w:rsid w:val="00CF30D0"/>
    <w:rsid w:val="00CF31E8"/>
    <w:rsid w:val="00CF328B"/>
    <w:rsid w:val="00CF340A"/>
    <w:rsid w:val="00CF3A93"/>
    <w:rsid w:val="00CF3EEB"/>
    <w:rsid w:val="00CF4004"/>
    <w:rsid w:val="00CF42EE"/>
    <w:rsid w:val="00CF4311"/>
    <w:rsid w:val="00CF43EB"/>
    <w:rsid w:val="00CF4426"/>
    <w:rsid w:val="00CF4694"/>
    <w:rsid w:val="00CF46AD"/>
    <w:rsid w:val="00CF47A6"/>
    <w:rsid w:val="00CF48EA"/>
    <w:rsid w:val="00CF4BBE"/>
    <w:rsid w:val="00CF4D75"/>
    <w:rsid w:val="00CF4E6F"/>
    <w:rsid w:val="00CF4ED8"/>
    <w:rsid w:val="00CF5488"/>
    <w:rsid w:val="00CF57AC"/>
    <w:rsid w:val="00CF5BC6"/>
    <w:rsid w:val="00CF5C63"/>
    <w:rsid w:val="00CF5D9C"/>
    <w:rsid w:val="00CF5F6B"/>
    <w:rsid w:val="00CF5F84"/>
    <w:rsid w:val="00CF5FD7"/>
    <w:rsid w:val="00CF6118"/>
    <w:rsid w:val="00CF63C2"/>
    <w:rsid w:val="00CF65C4"/>
    <w:rsid w:val="00CF6758"/>
    <w:rsid w:val="00CF6AD1"/>
    <w:rsid w:val="00CF6D17"/>
    <w:rsid w:val="00CF6EDF"/>
    <w:rsid w:val="00CF7045"/>
    <w:rsid w:val="00CF704B"/>
    <w:rsid w:val="00CF72BA"/>
    <w:rsid w:val="00CF7358"/>
    <w:rsid w:val="00CF73D2"/>
    <w:rsid w:val="00CF73E9"/>
    <w:rsid w:val="00CF74BA"/>
    <w:rsid w:val="00CF766D"/>
    <w:rsid w:val="00CF7794"/>
    <w:rsid w:val="00CF7C01"/>
    <w:rsid w:val="00CF7C62"/>
    <w:rsid w:val="00D0001D"/>
    <w:rsid w:val="00D000B6"/>
    <w:rsid w:val="00D00252"/>
    <w:rsid w:val="00D005DD"/>
    <w:rsid w:val="00D00C25"/>
    <w:rsid w:val="00D00DBB"/>
    <w:rsid w:val="00D01108"/>
    <w:rsid w:val="00D01184"/>
    <w:rsid w:val="00D011B8"/>
    <w:rsid w:val="00D011DC"/>
    <w:rsid w:val="00D012A6"/>
    <w:rsid w:val="00D0131E"/>
    <w:rsid w:val="00D018D1"/>
    <w:rsid w:val="00D018F0"/>
    <w:rsid w:val="00D01A36"/>
    <w:rsid w:val="00D01C26"/>
    <w:rsid w:val="00D01C92"/>
    <w:rsid w:val="00D01D13"/>
    <w:rsid w:val="00D01F34"/>
    <w:rsid w:val="00D01F80"/>
    <w:rsid w:val="00D020FA"/>
    <w:rsid w:val="00D02338"/>
    <w:rsid w:val="00D02415"/>
    <w:rsid w:val="00D02485"/>
    <w:rsid w:val="00D024C4"/>
    <w:rsid w:val="00D0256D"/>
    <w:rsid w:val="00D0267D"/>
    <w:rsid w:val="00D0287A"/>
    <w:rsid w:val="00D0291D"/>
    <w:rsid w:val="00D02E79"/>
    <w:rsid w:val="00D0318C"/>
    <w:rsid w:val="00D03236"/>
    <w:rsid w:val="00D032BF"/>
    <w:rsid w:val="00D033CA"/>
    <w:rsid w:val="00D03795"/>
    <w:rsid w:val="00D03877"/>
    <w:rsid w:val="00D038DF"/>
    <w:rsid w:val="00D03922"/>
    <w:rsid w:val="00D03A74"/>
    <w:rsid w:val="00D03B72"/>
    <w:rsid w:val="00D03D7B"/>
    <w:rsid w:val="00D03DD0"/>
    <w:rsid w:val="00D03F84"/>
    <w:rsid w:val="00D0436E"/>
    <w:rsid w:val="00D04428"/>
    <w:rsid w:val="00D04530"/>
    <w:rsid w:val="00D04775"/>
    <w:rsid w:val="00D04A7C"/>
    <w:rsid w:val="00D04B9C"/>
    <w:rsid w:val="00D04D9F"/>
    <w:rsid w:val="00D04E90"/>
    <w:rsid w:val="00D04F3A"/>
    <w:rsid w:val="00D051C7"/>
    <w:rsid w:val="00D05B98"/>
    <w:rsid w:val="00D05CEB"/>
    <w:rsid w:val="00D05E66"/>
    <w:rsid w:val="00D0608C"/>
    <w:rsid w:val="00D061AB"/>
    <w:rsid w:val="00D064CA"/>
    <w:rsid w:val="00D0670C"/>
    <w:rsid w:val="00D06A5D"/>
    <w:rsid w:val="00D06A8E"/>
    <w:rsid w:val="00D06AA6"/>
    <w:rsid w:val="00D06DB7"/>
    <w:rsid w:val="00D06DF8"/>
    <w:rsid w:val="00D06F48"/>
    <w:rsid w:val="00D0708B"/>
    <w:rsid w:val="00D07537"/>
    <w:rsid w:val="00D077DA"/>
    <w:rsid w:val="00D0795C"/>
    <w:rsid w:val="00D07B4A"/>
    <w:rsid w:val="00D07BBD"/>
    <w:rsid w:val="00D07BEE"/>
    <w:rsid w:val="00D07C0D"/>
    <w:rsid w:val="00D10163"/>
    <w:rsid w:val="00D10490"/>
    <w:rsid w:val="00D106C2"/>
    <w:rsid w:val="00D106EE"/>
    <w:rsid w:val="00D108C4"/>
    <w:rsid w:val="00D109FA"/>
    <w:rsid w:val="00D10A23"/>
    <w:rsid w:val="00D10AA8"/>
    <w:rsid w:val="00D10AF5"/>
    <w:rsid w:val="00D10B7A"/>
    <w:rsid w:val="00D10C40"/>
    <w:rsid w:val="00D10E59"/>
    <w:rsid w:val="00D10EB2"/>
    <w:rsid w:val="00D11156"/>
    <w:rsid w:val="00D11158"/>
    <w:rsid w:val="00D11329"/>
    <w:rsid w:val="00D118E0"/>
    <w:rsid w:val="00D11EED"/>
    <w:rsid w:val="00D11F4F"/>
    <w:rsid w:val="00D121B0"/>
    <w:rsid w:val="00D12215"/>
    <w:rsid w:val="00D12670"/>
    <w:rsid w:val="00D12917"/>
    <w:rsid w:val="00D12936"/>
    <w:rsid w:val="00D12D33"/>
    <w:rsid w:val="00D12E1A"/>
    <w:rsid w:val="00D12E51"/>
    <w:rsid w:val="00D13018"/>
    <w:rsid w:val="00D1326A"/>
    <w:rsid w:val="00D1357B"/>
    <w:rsid w:val="00D137C1"/>
    <w:rsid w:val="00D13A53"/>
    <w:rsid w:val="00D13B23"/>
    <w:rsid w:val="00D13D38"/>
    <w:rsid w:val="00D14246"/>
    <w:rsid w:val="00D1433E"/>
    <w:rsid w:val="00D144CF"/>
    <w:rsid w:val="00D146A1"/>
    <w:rsid w:val="00D147AB"/>
    <w:rsid w:val="00D14E49"/>
    <w:rsid w:val="00D14EA9"/>
    <w:rsid w:val="00D14EB2"/>
    <w:rsid w:val="00D151C0"/>
    <w:rsid w:val="00D15318"/>
    <w:rsid w:val="00D153A6"/>
    <w:rsid w:val="00D153D9"/>
    <w:rsid w:val="00D1540D"/>
    <w:rsid w:val="00D15528"/>
    <w:rsid w:val="00D15AD6"/>
    <w:rsid w:val="00D15AFC"/>
    <w:rsid w:val="00D15C73"/>
    <w:rsid w:val="00D15CF9"/>
    <w:rsid w:val="00D15F26"/>
    <w:rsid w:val="00D15F42"/>
    <w:rsid w:val="00D15F4E"/>
    <w:rsid w:val="00D15FA5"/>
    <w:rsid w:val="00D165D1"/>
    <w:rsid w:val="00D1680A"/>
    <w:rsid w:val="00D16950"/>
    <w:rsid w:val="00D16A21"/>
    <w:rsid w:val="00D16FC2"/>
    <w:rsid w:val="00D172F1"/>
    <w:rsid w:val="00D173AF"/>
    <w:rsid w:val="00D1747D"/>
    <w:rsid w:val="00D17875"/>
    <w:rsid w:val="00D17913"/>
    <w:rsid w:val="00D179B2"/>
    <w:rsid w:val="00D179E3"/>
    <w:rsid w:val="00D17A74"/>
    <w:rsid w:val="00D17AA9"/>
    <w:rsid w:val="00D17AB6"/>
    <w:rsid w:val="00D17B16"/>
    <w:rsid w:val="00D17B59"/>
    <w:rsid w:val="00D17F45"/>
    <w:rsid w:val="00D2048A"/>
    <w:rsid w:val="00D20521"/>
    <w:rsid w:val="00D20762"/>
    <w:rsid w:val="00D207B9"/>
    <w:rsid w:val="00D207CF"/>
    <w:rsid w:val="00D20AE6"/>
    <w:rsid w:val="00D20B1B"/>
    <w:rsid w:val="00D20DA2"/>
    <w:rsid w:val="00D20DC5"/>
    <w:rsid w:val="00D20DF4"/>
    <w:rsid w:val="00D20F1C"/>
    <w:rsid w:val="00D210B7"/>
    <w:rsid w:val="00D210D6"/>
    <w:rsid w:val="00D2126E"/>
    <w:rsid w:val="00D214E7"/>
    <w:rsid w:val="00D21575"/>
    <w:rsid w:val="00D21621"/>
    <w:rsid w:val="00D21A48"/>
    <w:rsid w:val="00D21B6F"/>
    <w:rsid w:val="00D21D2E"/>
    <w:rsid w:val="00D21DF3"/>
    <w:rsid w:val="00D221A7"/>
    <w:rsid w:val="00D225BF"/>
    <w:rsid w:val="00D225F8"/>
    <w:rsid w:val="00D226C5"/>
    <w:rsid w:val="00D226CA"/>
    <w:rsid w:val="00D22B21"/>
    <w:rsid w:val="00D22F94"/>
    <w:rsid w:val="00D233CB"/>
    <w:rsid w:val="00D23576"/>
    <w:rsid w:val="00D235CC"/>
    <w:rsid w:val="00D2376E"/>
    <w:rsid w:val="00D2381A"/>
    <w:rsid w:val="00D2382E"/>
    <w:rsid w:val="00D2389F"/>
    <w:rsid w:val="00D238BE"/>
    <w:rsid w:val="00D23918"/>
    <w:rsid w:val="00D23EF1"/>
    <w:rsid w:val="00D23FF0"/>
    <w:rsid w:val="00D24050"/>
    <w:rsid w:val="00D241C9"/>
    <w:rsid w:val="00D24227"/>
    <w:rsid w:val="00D2423D"/>
    <w:rsid w:val="00D243D7"/>
    <w:rsid w:val="00D246EE"/>
    <w:rsid w:val="00D247E0"/>
    <w:rsid w:val="00D24A91"/>
    <w:rsid w:val="00D24BBD"/>
    <w:rsid w:val="00D24BBF"/>
    <w:rsid w:val="00D24C4D"/>
    <w:rsid w:val="00D24E9F"/>
    <w:rsid w:val="00D25029"/>
    <w:rsid w:val="00D2527D"/>
    <w:rsid w:val="00D2536E"/>
    <w:rsid w:val="00D25554"/>
    <w:rsid w:val="00D255A2"/>
    <w:rsid w:val="00D25797"/>
    <w:rsid w:val="00D257C1"/>
    <w:rsid w:val="00D25857"/>
    <w:rsid w:val="00D25954"/>
    <w:rsid w:val="00D25A28"/>
    <w:rsid w:val="00D25F36"/>
    <w:rsid w:val="00D265BA"/>
    <w:rsid w:val="00D2668B"/>
    <w:rsid w:val="00D2670E"/>
    <w:rsid w:val="00D267E3"/>
    <w:rsid w:val="00D26B2D"/>
    <w:rsid w:val="00D26EFA"/>
    <w:rsid w:val="00D26F5C"/>
    <w:rsid w:val="00D27352"/>
    <w:rsid w:val="00D273B2"/>
    <w:rsid w:val="00D27494"/>
    <w:rsid w:val="00D27518"/>
    <w:rsid w:val="00D27529"/>
    <w:rsid w:val="00D275AD"/>
    <w:rsid w:val="00D2770E"/>
    <w:rsid w:val="00D27795"/>
    <w:rsid w:val="00D27D84"/>
    <w:rsid w:val="00D27DAF"/>
    <w:rsid w:val="00D300A0"/>
    <w:rsid w:val="00D30158"/>
    <w:rsid w:val="00D303F3"/>
    <w:rsid w:val="00D30447"/>
    <w:rsid w:val="00D30497"/>
    <w:rsid w:val="00D306BE"/>
    <w:rsid w:val="00D3080E"/>
    <w:rsid w:val="00D3081C"/>
    <w:rsid w:val="00D30A37"/>
    <w:rsid w:val="00D30A67"/>
    <w:rsid w:val="00D30D9B"/>
    <w:rsid w:val="00D30DC6"/>
    <w:rsid w:val="00D31139"/>
    <w:rsid w:val="00D311E9"/>
    <w:rsid w:val="00D31475"/>
    <w:rsid w:val="00D31665"/>
    <w:rsid w:val="00D3168C"/>
    <w:rsid w:val="00D31950"/>
    <w:rsid w:val="00D3195F"/>
    <w:rsid w:val="00D31CE2"/>
    <w:rsid w:val="00D32282"/>
    <w:rsid w:val="00D32319"/>
    <w:rsid w:val="00D324FA"/>
    <w:rsid w:val="00D32599"/>
    <w:rsid w:val="00D327E4"/>
    <w:rsid w:val="00D331EC"/>
    <w:rsid w:val="00D33243"/>
    <w:rsid w:val="00D33609"/>
    <w:rsid w:val="00D337C8"/>
    <w:rsid w:val="00D339DA"/>
    <w:rsid w:val="00D33B3F"/>
    <w:rsid w:val="00D33C51"/>
    <w:rsid w:val="00D33EC6"/>
    <w:rsid w:val="00D33EE4"/>
    <w:rsid w:val="00D33EF0"/>
    <w:rsid w:val="00D340E5"/>
    <w:rsid w:val="00D34282"/>
    <w:rsid w:val="00D343AF"/>
    <w:rsid w:val="00D34954"/>
    <w:rsid w:val="00D349E2"/>
    <w:rsid w:val="00D34E36"/>
    <w:rsid w:val="00D34F00"/>
    <w:rsid w:val="00D35163"/>
    <w:rsid w:val="00D35728"/>
    <w:rsid w:val="00D35803"/>
    <w:rsid w:val="00D359FD"/>
    <w:rsid w:val="00D35AFB"/>
    <w:rsid w:val="00D35B59"/>
    <w:rsid w:val="00D35D9E"/>
    <w:rsid w:val="00D35F12"/>
    <w:rsid w:val="00D36133"/>
    <w:rsid w:val="00D361FB"/>
    <w:rsid w:val="00D3625B"/>
    <w:rsid w:val="00D3628F"/>
    <w:rsid w:val="00D3645C"/>
    <w:rsid w:val="00D36598"/>
    <w:rsid w:val="00D366A9"/>
    <w:rsid w:val="00D3671C"/>
    <w:rsid w:val="00D36793"/>
    <w:rsid w:val="00D36816"/>
    <w:rsid w:val="00D370B6"/>
    <w:rsid w:val="00D371A0"/>
    <w:rsid w:val="00D3758D"/>
    <w:rsid w:val="00D3784A"/>
    <w:rsid w:val="00D3788A"/>
    <w:rsid w:val="00D378B1"/>
    <w:rsid w:val="00D378DC"/>
    <w:rsid w:val="00D37966"/>
    <w:rsid w:val="00D37C72"/>
    <w:rsid w:val="00D37D33"/>
    <w:rsid w:val="00D37D9D"/>
    <w:rsid w:val="00D37E56"/>
    <w:rsid w:val="00D4000B"/>
    <w:rsid w:val="00D400EF"/>
    <w:rsid w:val="00D4011F"/>
    <w:rsid w:val="00D40224"/>
    <w:rsid w:val="00D403D9"/>
    <w:rsid w:val="00D40665"/>
    <w:rsid w:val="00D4067C"/>
    <w:rsid w:val="00D407AF"/>
    <w:rsid w:val="00D415DE"/>
    <w:rsid w:val="00D41827"/>
    <w:rsid w:val="00D41867"/>
    <w:rsid w:val="00D41CC1"/>
    <w:rsid w:val="00D41E0F"/>
    <w:rsid w:val="00D41F88"/>
    <w:rsid w:val="00D42038"/>
    <w:rsid w:val="00D4221F"/>
    <w:rsid w:val="00D4243F"/>
    <w:rsid w:val="00D424D9"/>
    <w:rsid w:val="00D4299F"/>
    <w:rsid w:val="00D42A27"/>
    <w:rsid w:val="00D430B8"/>
    <w:rsid w:val="00D432B7"/>
    <w:rsid w:val="00D4349B"/>
    <w:rsid w:val="00D43515"/>
    <w:rsid w:val="00D435B3"/>
    <w:rsid w:val="00D4374B"/>
    <w:rsid w:val="00D43D95"/>
    <w:rsid w:val="00D44165"/>
    <w:rsid w:val="00D44421"/>
    <w:rsid w:val="00D44684"/>
    <w:rsid w:val="00D446C4"/>
    <w:rsid w:val="00D44874"/>
    <w:rsid w:val="00D448E6"/>
    <w:rsid w:val="00D4503E"/>
    <w:rsid w:val="00D452ED"/>
    <w:rsid w:val="00D453FA"/>
    <w:rsid w:val="00D453FC"/>
    <w:rsid w:val="00D45506"/>
    <w:rsid w:val="00D45953"/>
    <w:rsid w:val="00D45D4B"/>
    <w:rsid w:val="00D45EB6"/>
    <w:rsid w:val="00D4607A"/>
    <w:rsid w:val="00D46231"/>
    <w:rsid w:val="00D46506"/>
    <w:rsid w:val="00D46547"/>
    <w:rsid w:val="00D465CF"/>
    <w:rsid w:val="00D46655"/>
    <w:rsid w:val="00D46661"/>
    <w:rsid w:val="00D4696D"/>
    <w:rsid w:val="00D4699D"/>
    <w:rsid w:val="00D46D6F"/>
    <w:rsid w:val="00D46DA4"/>
    <w:rsid w:val="00D46DC0"/>
    <w:rsid w:val="00D46DDB"/>
    <w:rsid w:val="00D470C4"/>
    <w:rsid w:val="00D47235"/>
    <w:rsid w:val="00D47515"/>
    <w:rsid w:val="00D475A8"/>
    <w:rsid w:val="00D477D6"/>
    <w:rsid w:val="00D47A28"/>
    <w:rsid w:val="00D47AA9"/>
    <w:rsid w:val="00D47E0E"/>
    <w:rsid w:val="00D50283"/>
    <w:rsid w:val="00D50347"/>
    <w:rsid w:val="00D50422"/>
    <w:rsid w:val="00D5075D"/>
    <w:rsid w:val="00D507D9"/>
    <w:rsid w:val="00D5084B"/>
    <w:rsid w:val="00D50997"/>
    <w:rsid w:val="00D50BBF"/>
    <w:rsid w:val="00D50EF7"/>
    <w:rsid w:val="00D5116A"/>
    <w:rsid w:val="00D51176"/>
    <w:rsid w:val="00D5137B"/>
    <w:rsid w:val="00D5146F"/>
    <w:rsid w:val="00D51479"/>
    <w:rsid w:val="00D51868"/>
    <w:rsid w:val="00D518F5"/>
    <w:rsid w:val="00D5192F"/>
    <w:rsid w:val="00D51A48"/>
    <w:rsid w:val="00D51C99"/>
    <w:rsid w:val="00D51C9E"/>
    <w:rsid w:val="00D51ED3"/>
    <w:rsid w:val="00D51EE3"/>
    <w:rsid w:val="00D51F49"/>
    <w:rsid w:val="00D5234F"/>
    <w:rsid w:val="00D52721"/>
    <w:rsid w:val="00D5272B"/>
    <w:rsid w:val="00D528F1"/>
    <w:rsid w:val="00D5291C"/>
    <w:rsid w:val="00D52C34"/>
    <w:rsid w:val="00D531D8"/>
    <w:rsid w:val="00D536BA"/>
    <w:rsid w:val="00D5383D"/>
    <w:rsid w:val="00D53A96"/>
    <w:rsid w:val="00D53C97"/>
    <w:rsid w:val="00D53EBE"/>
    <w:rsid w:val="00D53F4B"/>
    <w:rsid w:val="00D5408E"/>
    <w:rsid w:val="00D540C9"/>
    <w:rsid w:val="00D5449F"/>
    <w:rsid w:val="00D54C41"/>
    <w:rsid w:val="00D54C95"/>
    <w:rsid w:val="00D55004"/>
    <w:rsid w:val="00D55388"/>
    <w:rsid w:val="00D5574B"/>
    <w:rsid w:val="00D5574F"/>
    <w:rsid w:val="00D55811"/>
    <w:rsid w:val="00D558EB"/>
    <w:rsid w:val="00D55BF0"/>
    <w:rsid w:val="00D55DAE"/>
    <w:rsid w:val="00D55E98"/>
    <w:rsid w:val="00D55EE7"/>
    <w:rsid w:val="00D55F06"/>
    <w:rsid w:val="00D561AC"/>
    <w:rsid w:val="00D564F0"/>
    <w:rsid w:val="00D56644"/>
    <w:rsid w:val="00D566E5"/>
    <w:rsid w:val="00D567C2"/>
    <w:rsid w:val="00D56A75"/>
    <w:rsid w:val="00D56AC2"/>
    <w:rsid w:val="00D56AFB"/>
    <w:rsid w:val="00D56C35"/>
    <w:rsid w:val="00D56C45"/>
    <w:rsid w:val="00D56F31"/>
    <w:rsid w:val="00D57077"/>
    <w:rsid w:val="00D576D4"/>
    <w:rsid w:val="00D57D84"/>
    <w:rsid w:val="00D57F3F"/>
    <w:rsid w:val="00D57F8D"/>
    <w:rsid w:val="00D604CE"/>
    <w:rsid w:val="00D6071F"/>
    <w:rsid w:val="00D607E9"/>
    <w:rsid w:val="00D60876"/>
    <w:rsid w:val="00D60930"/>
    <w:rsid w:val="00D60D52"/>
    <w:rsid w:val="00D60F43"/>
    <w:rsid w:val="00D60F71"/>
    <w:rsid w:val="00D61212"/>
    <w:rsid w:val="00D614E5"/>
    <w:rsid w:val="00D61565"/>
    <w:rsid w:val="00D61999"/>
    <w:rsid w:val="00D61F29"/>
    <w:rsid w:val="00D61FF2"/>
    <w:rsid w:val="00D62133"/>
    <w:rsid w:val="00D621D3"/>
    <w:rsid w:val="00D626A6"/>
    <w:rsid w:val="00D62837"/>
    <w:rsid w:val="00D6283F"/>
    <w:rsid w:val="00D62EA5"/>
    <w:rsid w:val="00D6300B"/>
    <w:rsid w:val="00D630BF"/>
    <w:rsid w:val="00D632E5"/>
    <w:rsid w:val="00D634AA"/>
    <w:rsid w:val="00D63502"/>
    <w:rsid w:val="00D63530"/>
    <w:rsid w:val="00D6358E"/>
    <w:rsid w:val="00D63719"/>
    <w:rsid w:val="00D63867"/>
    <w:rsid w:val="00D63AE7"/>
    <w:rsid w:val="00D63C68"/>
    <w:rsid w:val="00D63C6E"/>
    <w:rsid w:val="00D63F6B"/>
    <w:rsid w:val="00D64102"/>
    <w:rsid w:val="00D641FA"/>
    <w:rsid w:val="00D64219"/>
    <w:rsid w:val="00D64327"/>
    <w:rsid w:val="00D643E4"/>
    <w:rsid w:val="00D646DF"/>
    <w:rsid w:val="00D64962"/>
    <w:rsid w:val="00D6499C"/>
    <w:rsid w:val="00D649DF"/>
    <w:rsid w:val="00D64BAE"/>
    <w:rsid w:val="00D64BDB"/>
    <w:rsid w:val="00D64CED"/>
    <w:rsid w:val="00D64DA5"/>
    <w:rsid w:val="00D64EE3"/>
    <w:rsid w:val="00D6522D"/>
    <w:rsid w:val="00D6526C"/>
    <w:rsid w:val="00D653CF"/>
    <w:rsid w:val="00D65430"/>
    <w:rsid w:val="00D654C2"/>
    <w:rsid w:val="00D65645"/>
    <w:rsid w:val="00D656F6"/>
    <w:rsid w:val="00D657A9"/>
    <w:rsid w:val="00D659A8"/>
    <w:rsid w:val="00D65A01"/>
    <w:rsid w:val="00D65D6D"/>
    <w:rsid w:val="00D65D8F"/>
    <w:rsid w:val="00D66115"/>
    <w:rsid w:val="00D66369"/>
    <w:rsid w:val="00D663DD"/>
    <w:rsid w:val="00D66649"/>
    <w:rsid w:val="00D6678C"/>
    <w:rsid w:val="00D66A4D"/>
    <w:rsid w:val="00D66B28"/>
    <w:rsid w:val="00D66B5D"/>
    <w:rsid w:val="00D66CA7"/>
    <w:rsid w:val="00D66D99"/>
    <w:rsid w:val="00D66E48"/>
    <w:rsid w:val="00D66FDC"/>
    <w:rsid w:val="00D67528"/>
    <w:rsid w:val="00D67762"/>
    <w:rsid w:val="00D67851"/>
    <w:rsid w:val="00D678BD"/>
    <w:rsid w:val="00D6792E"/>
    <w:rsid w:val="00D67D7C"/>
    <w:rsid w:val="00D67DAC"/>
    <w:rsid w:val="00D70136"/>
    <w:rsid w:val="00D70469"/>
    <w:rsid w:val="00D705B2"/>
    <w:rsid w:val="00D70AC1"/>
    <w:rsid w:val="00D70CFC"/>
    <w:rsid w:val="00D70D90"/>
    <w:rsid w:val="00D70E8B"/>
    <w:rsid w:val="00D70F11"/>
    <w:rsid w:val="00D70FA4"/>
    <w:rsid w:val="00D70FF9"/>
    <w:rsid w:val="00D710D0"/>
    <w:rsid w:val="00D712A9"/>
    <w:rsid w:val="00D71405"/>
    <w:rsid w:val="00D71484"/>
    <w:rsid w:val="00D71619"/>
    <w:rsid w:val="00D719E2"/>
    <w:rsid w:val="00D71B12"/>
    <w:rsid w:val="00D72016"/>
    <w:rsid w:val="00D72291"/>
    <w:rsid w:val="00D7231F"/>
    <w:rsid w:val="00D72338"/>
    <w:rsid w:val="00D723A7"/>
    <w:rsid w:val="00D72509"/>
    <w:rsid w:val="00D726B8"/>
    <w:rsid w:val="00D727B5"/>
    <w:rsid w:val="00D72862"/>
    <w:rsid w:val="00D7296A"/>
    <w:rsid w:val="00D72C5D"/>
    <w:rsid w:val="00D72DFD"/>
    <w:rsid w:val="00D72F59"/>
    <w:rsid w:val="00D72F7E"/>
    <w:rsid w:val="00D73003"/>
    <w:rsid w:val="00D7306B"/>
    <w:rsid w:val="00D73296"/>
    <w:rsid w:val="00D73327"/>
    <w:rsid w:val="00D733C1"/>
    <w:rsid w:val="00D73494"/>
    <w:rsid w:val="00D73799"/>
    <w:rsid w:val="00D73BF2"/>
    <w:rsid w:val="00D73E07"/>
    <w:rsid w:val="00D73EB4"/>
    <w:rsid w:val="00D74025"/>
    <w:rsid w:val="00D741B4"/>
    <w:rsid w:val="00D74738"/>
    <w:rsid w:val="00D74816"/>
    <w:rsid w:val="00D748B4"/>
    <w:rsid w:val="00D74DC0"/>
    <w:rsid w:val="00D74DE2"/>
    <w:rsid w:val="00D74DE4"/>
    <w:rsid w:val="00D75342"/>
    <w:rsid w:val="00D756DD"/>
    <w:rsid w:val="00D75751"/>
    <w:rsid w:val="00D75AE3"/>
    <w:rsid w:val="00D75B7E"/>
    <w:rsid w:val="00D75BC1"/>
    <w:rsid w:val="00D760BD"/>
    <w:rsid w:val="00D761D9"/>
    <w:rsid w:val="00D762D5"/>
    <w:rsid w:val="00D76358"/>
    <w:rsid w:val="00D764F7"/>
    <w:rsid w:val="00D7695A"/>
    <w:rsid w:val="00D769CA"/>
    <w:rsid w:val="00D76D0C"/>
    <w:rsid w:val="00D76E47"/>
    <w:rsid w:val="00D7702E"/>
    <w:rsid w:val="00D77825"/>
    <w:rsid w:val="00D77829"/>
    <w:rsid w:val="00D77898"/>
    <w:rsid w:val="00D77956"/>
    <w:rsid w:val="00D77E78"/>
    <w:rsid w:val="00D77EDF"/>
    <w:rsid w:val="00D80037"/>
    <w:rsid w:val="00D8012C"/>
    <w:rsid w:val="00D8018D"/>
    <w:rsid w:val="00D8045C"/>
    <w:rsid w:val="00D80581"/>
    <w:rsid w:val="00D8098C"/>
    <w:rsid w:val="00D80B5B"/>
    <w:rsid w:val="00D80BBA"/>
    <w:rsid w:val="00D80BC8"/>
    <w:rsid w:val="00D80CA3"/>
    <w:rsid w:val="00D80D90"/>
    <w:rsid w:val="00D80E90"/>
    <w:rsid w:val="00D811AE"/>
    <w:rsid w:val="00D811EC"/>
    <w:rsid w:val="00D812F8"/>
    <w:rsid w:val="00D8138B"/>
    <w:rsid w:val="00D81411"/>
    <w:rsid w:val="00D8148D"/>
    <w:rsid w:val="00D815F1"/>
    <w:rsid w:val="00D81B5C"/>
    <w:rsid w:val="00D81BEE"/>
    <w:rsid w:val="00D81EE2"/>
    <w:rsid w:val="00D82317"/>
    <w:rsid w:val="00D8246B"/>
    <w:rsid w:val="00D82810"/>
    <w:rsid w:val="00D82A11"/>
    <w:rsid w:val="00D82A96"/>
    <w:rsid w:val="00D82B23"/>
    <w:rsid w:val="00D82B35"/>
    <w:rsid w:val="00D82BF5"/>
    <w:rsid w:val="00D82C59"/>
    <w:rsid w:val="00D82C83"/>
    <w:rsid w:val="00D82E09"/>
    <w:rsid w:val="00D82F79"/>
    <w:rsid w:val="00D82FCD"/>
    <w:rsid w:val="00D8312D"/>
    <w:rsid w:val="00D83446"/>
    <w:rsid w:val="00D83592"/>
    <w:rsid w:val="00D837C0"/>
    <w:rsid w:val="00D837F7"/>
    <w:rsid w:val="00D83854"/>
    <w:rsid w:val="00D83898"/>
    <w:rsid w:val="00D83912"/>
    <w:rsid w:val="00D83915"/>
    <w:rsid w:val="00D83B20"/>
    <w:rsid w:val="00D83BC9"/>
    <w:rsid w:val="00D83EE5"/>
    <w:rsid w:val="00D8400C"/>
    <w:rsid w:val="00D840DE"/>
    <w:rsid w:val="00D8419D"/>
    <w:rsid w:val="00D84373"/>
    <w:rsid w:val="00D846EF"/>
    <w:rsid w:val="00D8482A"/>
    <w:rsid w:val="00D8485B"/>
    <w:rsid w:val="00D84986"/>
    <w:rsid w:val="00D84BD8"/>
    <w:rsid w:val="00D84E7F"/>
    <w:rsid w:val="00D84F53"/>
    <w:rsid w:val="00D85287"/>
    <w:rsid w:val="00D855E3"/>
    <w:rsid w:val="00D85A0B"/>
    <w:rsid w:val="00D85B62"/>
    <w:rsid w:val="00D85CD0"/>
    <w:rsid w:val="00D85D3D"/>
    <w:rsid w:val="00D85D9B"/>
    <w:rsid w:val="00D863FF"/>
    <w:rsid w:val="00D864D1"/>
    <w:rsid w:val="00D86531"/>
    <w:rsid w:val="00D86534"/>
    <w:rsid w:val="00D86621"/>
    <w:rsid w:val="00D867AC"/>
    <w:rsid w:val="00D867D5"/>
    <w:rsid w:val="00D86904"/>
    <w:rsid w:val="00D8699F"/>
    <w:rsid w:val="00D86B5F"/>
    <w:rsid w:val="00D86B96"/>
    <w:rsid w:val="00D86BE9"/>
    <w:rsid w:val="00D86CF0"/>
    <w:rsid w:val="00D86DC6"/>
    <w:rsid w:val="00D86EBE"/>
    <w:rsid w:val="00D86EED"/>
    <w:rsid w:val="00D86FA1"/>
    <w:rsid w:val="00D873FB"/>
    <w:rsid w:val="00D876C2"/>
    <w:rsid w:val="00D8793D"/>
    <w:rsid w:val="00D87AA0"/>
    <w:rsid w:val="00D87D0C"/>
    <w:rsid w:val="00D87D84"/>
    <w:rsid w:val="00D87DA4"/>
    <w:rsid w:val="00D87E29"/>
    <w:rsid w:val="00D87FDC"/>
    <w:rsid w:val="00D900A8"/>
    <w:rsid w:val="00D90408"/>
    <w:rsid w:val="00D90440"/>
    <w:rsid w:val="00D908F2"/>
    <w:rsid w:val="00D90936"/>
    <w:rsid w:val="00D90A96"/>
    <w:rsid w:val="00D90BB2"/>
    <w:rsid w:val="00D90C86"/>
    <w:rsid w:val="00D90D6D"/>
    <w:rsid w:val="00D90D82"/>
    <w:rsid w:val="00D90F8B"/>
    <w:rsid w:val="00D9102B"/>
    <w:rsid w:val="00D91320"/>
    <w:rsid w:val="00D91D48"/>
    <w:rsid w:val="00D923C0"/>
    <w:rsid w:val="00D926CA"/>
    <w:rsid w:val="00D927A6"/>
    <w:rsid w:val="00D927CC"/>
    <w:rsid w:val="00D928A0"/>
    <w:rsid w:val="00D928A3"/>
    <w:rsid w:val="00D92987"/>
    <w:rsid w:val="00D92C0D"/>
    <w:rsid w:val="00D92CB1"/>
    <w:rsid w:val="00D930BA"/>
    <w:rsid w:val="00D9314E"/>
    <w:rsid w:val="00D93185"/>
    <w:rsid w:val="00D932B0"/>
    <w:rsid w:val="00D93372"/>
    <w:rsid w:val="00D934A1"/>
    <w:rsid w:val="00D93523"/>
    <w:rsid w:val="00D936B3"/>
    <w:rsid w:val="00D937F5"/>
    <w:rsid w:val="00D939A7"/>
    <w:rsid w:val="00D939CC"/>
    <w:rsid w:val="00D93A12"/>
    <w:rsid w:val="00D93C54"/>
    <w:rsid w:val="00D93CE9"/>
    <w:rsid w:val="00D93F19"/>
    <w:rsid w:val="00D940E7"/>
    <w:rsid w:val="00D94175"/>
    <w:rsid w:val="00D94480"/>
    <w:rsid w:val="00D94564"/>
    <w:rsid w:val="00D9459B"/>
    <w:rsid w:val="00D9467B"/>
    <w:rsid w:val="00D9473A"/>
    <w:rsid w:val="00D94759"/>
    <w:rsid w:val="00D9481E"/>
    <w:rsid w:val="00D94A17"/>
    <w:rsid w:val="00D94BF1"/>
    <w:rsid w:val="00D94E4F"/>
    <w:rsid w:val="00D9500F"/>
    <w:rsid w:val="00D95660"/>
    <w:rsid w:val="00D95756"/>
    <w:rsid w:val="00D95A9F"/>
    <w:rsid w:val="00D95C7E"/>
    <w:rsid w:val="00D96411"/>
    <w:rsid w:val="00D96737"/>
    <w:rsid w:val="00D9683A"/>
    <w:rsid w:val="00D96A6C"/>
    <w:rsid w:val="00D96B64"/>
    <w:rsid w:val="00D96BDD"/>
    <w:rsid w:val="00D96E0B"/>
    <w:rsid w:val="00D96EB7"/>
    <w:rsid w:val="00D9712F"/>
    <w:rsid w:val="00D97269"/>
    <w:rsid w:val="00D97277"/>
    <w:rsid w:val="00D973E5"/>
    <w:rsid w:val="00D976F4"/>
    <w:rsid w:val="00D977BB"/>
    <w:rsid w:val="00D97801"/>
    <w:rsid w:val="00D97A25"/>
    <w:rsid w:val="00D97E49"/>
    <w:rsid w:val="00D97F10"/>
    <w:rsid w:val="00DA0110"/>
    <w:rsid w:val="00DA01AC"/>
    <w:rsid w:val="00DA01B9"/>
    <w:rsid w:val="00DA01C6"/>
    <w:rsid w:val="00DA0292"/>
    <w:rsid w:val="00DA02B0"/>
    <w:rsid w:val="00DA09BC"/>
    <w:rsid w:val="00DA0DA3"/>
    <w:rsid w:val="00DA1061"/>
    <w:rsid w:val="00DA1154"/>
    <w:rsid w:val="00DA11C9"/>
    <w:rsid w:val="00DA1355"/>
    <w:rsid w:val="00DA18AD"/>
    <w:rsid w:val="00DA1933"/>
    <w:rsid w:val="00DA199C"/>
    <w:rsid w:val="00DA1BFC"/>
    <w:rsid w:val="00DA21C7"/>
    <w:rsid w:val="00DA2351"/>
    <w:rsid w:val="00DA26FF"/>
    <w:rsid w:val="00DA2AD2"/>
    <w:rsid w:val="00DA2C39"/>
    <w:rsid w:val="00DA2DA5"/>
    <w:rsid w:val="00DA2EA8"/>
    <w:rsid w:val="00DA2F29"/>
    <w:rsid w:val="00DA2FFF"/>
    <w:rsid w:val="00DA32F0"/>
    <w:rsid w:val="00DA340C"/>
    <w:rsid w:val="00DA345C"/>
    <w:rsid w:val="00DA347E"/>
    <w:rsid w:val="00DA352F"/>
    <w:rsid w:val="00DA36F9"/>
    <w:rsid w:val="00DA3788"/>
    <w:rsid w:val="00DA37B0"/>
    <w:rsid w:val="00DA393E"/>
    <w:rsid w:val="00DA3C02"/>
    <w:rsid w:val="00DA3C99"/>
    <w:rsid w:val="00DA3E40"/>
    <w:rsid w:val="00DA3EFB"/>
    <w:rsid w:val="00DA43C6"/>
    <w:rsid w:val="00DA43FE"/>
    <w:rsid w:val="00DA4591"/>
    <w:rsid w:val="00DA48F9"/>
    <w:rsid w:val="00DA4A96"/>
    <w:rsid w:val="00DA4C33"/>
    <w:rsid w:val="00DA4DA0"/>
    <w:rsid w:val="00DA511A"/>
    <w:rsid w:val="00DA52A6"/>
    <w:rsid w:val="00DA538B"/>
    <w:rsid w:val="00DA5554"/>
    <w:rsid w:val="00DA55A1"/>
    <w:rsid w:val="00DA5D9A"/>
    <w:rsid w:val="00DA5DCA"/>
    <w:rsid w:val="00DA6029"/>
    <w:rsid w:val="00DA65CA"/>
    <w:rsid w:val="00DA6661"/>
    <w:rsid w:val="00DA6AB8"/>
    <w:rsid w:val="00DA6C0D"/>
    <w:rsid w:val="00DA6D98"/>
    <w:rsid w:val="00DA6ED1"/>
    <w:rsid w:val="00DA702D"/>
    <w:rsid w:val="00DA72AF"/>
    <w:rsid w:val="00DA7785"/>
    <w:rsid w:val="00DA7832"/>
    <w:rsid w:val="00DA78F6"/>
    <w:rsid w:val="00DA795D"/>
    <w:rsid w:val="00DA7A58"/>
    <w:rsid w:val="00DA7D67"/>
    <w:rsid w:val="00DA7D6C"/>
    <w:rsid w:val="00DA7EC5"/>
    <w:rsid w:val="00DB0076"/>
    <w:rsid w:val="00DB027F"/>
    <w:rsid w:val="00DB0287"/>
    <w:rsid w:val="00DB02F7"/>
    <w:rsid w:val="00DB04AC"/>
    <w:rsid w:val="00DB05F6"/>
    <w:rsid w:val="00DB07F4"/>
    <w:rsid w:val="00DB097A"/>
    <w:rsid w:val="00DB0BAF"/>
    <w:rsid w:val="00DB0EA7"/>
    <w:rsid w:val="00DB1052"/>
    <w:rsid w:val="00DB1492"/>
    <w:rsid w:val="00DB150B"/>
    <w:rsid w:val="00DB15F9"/>
    <w:rsid w:val="00DB1725"/>
    <w:rsid w:val="00DB1767"/>
    <w:rsid w:val="00DB1888"/>
    <w:rsid w:val="00DB1B2D"/>
    <w:rsid w:val="00DB1B73"/>
    <w:rsid w:val="00DB1CA2"/>
    <w:rsid w:val="00DB1DBF"/>
    <w:rsid w:val="00DB1DDB"/>
    <w:rsid w:val="00DB1ED3"/>
    <w:rsid w:val="00DB2245"/>
    <w:rsid w:val="00DB2279"/>
    <w:rsid w:val="00DB26F8"/>
    <w:rsid w:val="00DB2985"/>
    <w:rsid w:val="00DB298E"/>
    <w:rsid w:val="00DB2BF1"/>
    <w:rsid w:val="00DB2E86"/>
    <w:rsid w:val="00DB2F33"/>
    <w:rsid w:val="00DB2FB9"/>
    <w:rsid w:val="00DB2FE8"/>
    <w:rsid w:val="00DB3031"/>
    <w:rsid w:val="00DB38AD"/>
    <w:rsid w:val="00DB38B7"/>
    <w:rsid w:val="00DB3949"/>
    <w:rsid w:val="00DB39A8"/>
    <w:rsid w:val="00DB3EF0"/>
    <w:rsid w:val="00DB40D8"/>
    <w:rsid w:val="00DB4191"/>
    <w:rsid w:val="00DB422F"/>
    <w:rsid w:val="00DB42B8"/>
    <w:rsid w:val="00DB439D"/>
    <w:rsid w:val="00DB45EA"/>
    <w:rsid w:val="00DB4689"/>
    <w:rsid w:val="00DB48C5"/>
    <w:rsid w:val="00DB4A2A"/>
    <w:rsid w:val="00DB4CE7"/>
    <w:rsid w:val="00DB4D17"/>
    <w:rsid w:val="00DB4EE8"/>
    <w:rsid w:val="00DB508B"/>
    <w:rsid w:val="00DB514E"/>
    <w:rsid w:val="00DB516E"/>
    <w:rsid w:val="00DB5184"/>
    <w:rsid w:val="00DB5195"/>
    <w:rsid w:val="00DB5267"/>
    <w:rsid w:val="00DB5438"/>
    <w:rsid w:val="00DB54C6"/>
    <w:rsid w:val="00DB54FD"/>
    <w:rsid w:val="00DB5736"/>
    <w:rsid w:val="00DB574A"/>
    <w:rsid w:val="00DB5889"/>
    <w:rsid w:val="00DB5A06"/>
    <w:rsid w:val="00DB5FB6"/>
    <w:rsid w:val="00DB60EC"/>
    <w:rsid w:val="00DB61D7"/>
    <w:rsid w:val="00DB6817"/>
    <w:rsid w:val="00DB6932"/>
    <w:rsid w:val="00DB6E87"/>
    <w:rsid w:val="00DB6F7F"/>
    <w:rsid w:val="00DB731C"/>
    <w:rsid w:val="00DB749B"/>
    <w:rsid w:val="00DB758C"/>
    <w:rsid w:val="00DB7ABC"/>
    <w:rsid w:val="00DB7B9D"/>
    <w:rsid w:val="00DB7C8B"/>
    <w:rsid w:val="00DB7D93"/>
    <w:rsid w:val="00DB7FE1"/>
    <w:rsid w:val="00DC00B0"/>
    <w:rsid w:val="00DC01CD"/>
    <w:rsid w:val="00DC0372"/>
    <w:rsid w:val="00DC054F"/>
    <w:rsid w:val="00DC06C9"/>
    <w:rsid w:val="00DC082E"/>
    <w:rsid w:val="00DC08B6"/>
    <w:rsid w:val="00DC0929"/>
    <w:rsid w:val="00DC0995"/>
    <w:rsid w:val="00DC0A86"/>
    <w:rsid w:val="00DC0AA4"/>
    <w:rsid w:val="00DC0B36"/>
    <w:rsid w:val="00DC0B95"/>
    <w:rsid w:val="00DC0C7F"/>
    <w:rsid w:val="00DC0ED1"/>
    <w:rsid w:val="00DC0F66"/>
    <w:rsid w:val="00DC1002"/>
    <w:rsid w:val="00DC10FC"/>
    <w:rsid w:val="00DC1158"/>
    <w:rsid w:val="00DC15C5"/>
    <w:rsid w:val="00DC1CDD"/>
    <w:rsid w:val="00DC1CF5"/>
    <w:rsid w:val="00DC1DFE"/>
    <w:rsid w:val="00DC1E5E"/>
    <w:rsid w:val="00DC1F4B"/>
    <w:rsid w:val="00DC2147"/>
    <w:rsid w:val="00DC2351"/>
    <w:rsid w:val="00DC2475"/>
    <w:rsid w:val="00DC247B"/>
    <w:rsid w:val="00DC262F"/>
    <w:rsid w:val="00DC28EE"/>
    <w:rsid w:val="00DC2A99"/>
    <w:rsid w:val="00DC2ADA"/>
    <w:rsid w:val="00DC2AF2"/>
    <w:rsid w:val="00DC2D42"/>
    <w:rsid w:val="00DC2E72"/>
    <w:rsid w:val="00DC31FC"/>
    <w:rsid w:val="00DC3394"/>
    <w:rsid w:val="00DC33FF"/>
    <w:rsid w:val="00DC3414"/>
    <w:rsid w:val="00DC376E"/>
    <w:rsid w:val="00DC3994"/>
    <w:rsid w:val="00DC39D0"/>
    <w:rsid w:val="00DC3E79"/>
    <w:rsid w:val="00DC3EFD"/>
    <w:rsid w:val="00DC40B9"/>
    <w:rsid w:val="00DC4103"/>
    <w:rsid w:val="00DC420F"/>
    <w:rsid w:val="00DC42A9"/>
    <w:rsid w:val="00DC42DB"/>
    <w:rsid w:val="00DC495F"/>
    <w:rsid w:val="00DC4A16"/>
    <w:rsid w:val="00DC4D43"/>
    <w:rsid w:val="00DC4DCB"/>
    <w:rsid w:val="00DC4EDD"/>
    <w:rsid w:val="00DC5063"/>
    <w:rsid w:val="00DC5083"/>
    <w:rsid w:val="00DC526C"/>
    <w:rsid w:val="00DC55A1"/>
    <w:rsid w:val="00DC57D1"/>
    <w:rsid w:val="00DC5A2A"/>
    <w:rsid w:val="00DC5AB3"/>
    <w:rsid w:val="00DC5BB2"/>
    <w:rsid w:val="00DC5BB6"/>
    <w:rsid w:val="00DC5C3F"/>
    <w:rsid w:val="00DC5C9A"/>
    <w:rsid w:val="00DC5E21"/>
    <w:rsid w:val="00DC635C"/>
    <w:rsid w:val="00DC63EE"/>
    <w:rsid w:val="00DC6499"/>
    <w:rsid w:val="00DC6506"/>
    <w:rsid w:val="00DC6517"/>
    <w:rsid w:val="00DC68A7"/>
    <w:rsid w:val="00DC6A9F"/>
    <w:rsid w:val="00DC6B06"/>
    <w:rsid w:val="00DC6DCF"/>
    <w:rsid w:val="00DC6DF3"/>
    <w:rsid w:val="00DC6EBE"/>
    <w:rsid w:val="00DC6F52"/>
    <w:rsid w:val="00DC70B9"/>
    <w:rsid w:val="00DC71D8"/>
    <w:rsid w:val="00DC76CD"/>
    <w:rsid w:val="00DC7724"/>
    <w:rsid w:val="00DC7897"/>
    <w:rsid w:val="00DC7B47"/>
    <w:rsid w:val="00DC7BEB"/>
    <w:rsid w:val="00DC7CA0"/>
    <w:rsid w:val="00DC7EF7"/>
    <w:rsid w:val="00DD00D3"/>
    <w:rsid w:val="00DD0200"/>
    <w:rsid w:val="00DD026F"/>
    <w:rsid w:val="00DD0332"/>
    <w:rsid w:val="00DD0A8E"/>
    <w:rsid w:val="00DD0BAC"/>
    <w:rsid w:val="00DD0D7A"/>
    <w:rsid w:val="00DD0D80"/>
    <w:rsid w:val="00DD0E4B"/>
    <w:rsid w:val="00DD113A"/>
    <w:rsid w:val="00DD1221"/>
    <w:rsid w:val="00DD1259"/>
    <w:rsid w:val="00DD14DF"/>
    <w:rsid w:val="00DD1509"/>
    <w:rsid w:val="00DD183C"/>
    <w:rsid w:val="00DD1871"/>
    <w:rsid w:val="00DD19B1"/>
    <w:rsid w:val="00DD19E7"/>
    <w:rsid w:val="00DD1B3F"/>
    <w:rsid w:val="00DD1DDF"/>
    <w:rsid w:val="00DD1FDE"/>
    <w:rsid w:val="00DD2242"/>
    <w:rsid w:val="00DD23EB"/>
    <w:rsid w:val="00DD2433"/>
    <w:rsid w:val="00DD24AF"/>
    <w:rsid w:val="00DD24BA"/>
    <w:rsid w:val="00DD2CA6"/>
    <w:rsid w:val="00DD2D69"/>
    <w:rsid w:val="00DD2F32"/>
    <w:rsid w:val="00DD315B"/>
    <w:rsid w:val="00DD31B0"/>
    <w:rsid w:val="00DD31D8"/>
    <w:rsid w:val="00DD33A2"/>
    <w:rsid w:val="00DD3403"/>
    <w:rsid w:val="00DD3633"/>
    <w:rsid w:val="00DD37AD"/>
    <w:rsid w:val="00DD37F0"/>
    <w:rsid w:val="00DD3996"/>
    <w:rsid w:val="00DD3A83"/>
    <w:rsid w:val="00DD3CEE"/>
    <w:rsid w:val="00DD3DC1"/>
    <w:rsid w:val="00DD3E38"/>
    <w:rsid w:val="00DD3E91"/>
    <w:rsid w:val="00DD41FF"/>
    <w:rsid w:val="00DD421F"/>
    <w:rsid w:val="00DD46B0"/>
    <w:rsid w:val="00DD48A2"/>
    <w:rsid w:val="00DD4E19"/>
    <w:rsid w:val="00DD4F33"/>
    <w:rsid w:val="00DD504B"/>
    <w:rsid w:val="00DD5290"/>
    <w:rsid w:val="00DD5328"/>
    <w:rsid w:val="00DD5549"/>
    <w:rsid w:val="00DD5588"/>
    <w:rsid w:val="00DD5592"/>
    <w:rsid w:val="00DD5619"/>
    <w:rsid w:val="00DD59DB"/>
    <w:rsid w:val="00DD5B91"/>
    <w:rsid w:val="00DD5C1E"/>
    <w:rsid w:val="00DD5DA9"/>
    <w:rsid w:val="00DD5EEF"/>
    <w:rsid w:val="00DD5F79"/>
    <w:rsid w:val="00DD5F7F"/>
    <w:rsid w:val="00DD6273"/>
    <w:rsid w:val="00DD640E"/>
    <w:rsid w:val="00DD6492"/>
    <w:rsid w:val="00DD6778"/>
    <w:rsid w:val="00DD6932"/>
    <w:rsid w:val="00DD6AC1"/>
    <w:rsid w:val="00DD6AEF"/>
    <w:rsid w:val="00DD6CAD"/>
    <w:rsid w:val="00DD6CAE"/>
    <w:rsid w:val="00DD70A6"/>
    <w:rsid w:val="00DD720B"/>
    <w:rsid w:val="00DD771A"/>
    <w:rsid w:val="00DD77E5"/>
    <w:rsid w:val="00DD7848"/>
    <w:rsid w:val="00DD7879"/>
    <w:rsid w:val="00DD7961"/>
    <w:rsid w:val="00DD7E4A"/>
    <w:rsid w:val="00DD7E72"/>
    <w:rsid w:val="00DD7E9E"/>
    <w:rsid w:val="00DD7F07"/>
    <w:rsid w:val="00DE003B"/>
    <w:rsid w:val="00DE003D"/>
    <w:rsid w:val="00DE005D"/>
    <w:rsid w:val="00DE033C"/>
    <w:rsid w:val="00DE0384"/>
    <w:rsid w:val="00DE03E7"/>
    <w:rsid w:val="00DE04FE"/>
    <w:rsid w:val="00DE071A"/>
    <w:rsid w:val="00DE0848"/>
    <w:rsid w:val="00DE09D9"/>
    <w:rsid w:val="00DE0B40"/>
    <w:rsid w:val="00DE0CB3"/>
    <w:rsid w:val="00DE0D37"/>
    <w:rsid w:val="00DE0D5B"/>
    <w:rsid w:val="00DE0FF6"/>
    <w:rsid w:val="00DE10C6"/>
    <w:rsid w:val="00DE124A"/>
    <w:rsid w:val="00DE1439"/>
    <w:rsid w:val="00DE16DE"/>
    <w:rsid w:val="00DE18E5"/>
    <w:rsid w:val="00DE1907"/>
    <w:rsid w:val="00DE1BD4"/>
    <w:rsid w:val="00DE1CCC"/>
    <w:rsid w:val="00DE1CCE"/>
    <w:rsid w:val="00DE1DCC"/>
    <w:rsid w:val="00DE1FA6"/>
    <w:rsid w:val="00DE2300"/>
    <w:rsid w:val="00DE2596"/>
    <w:rsid w:val="00DE25E8"/>
    <w:rsid w:val="00DE2BF5"/>
    <w:rsid w:val="00DE2D09"/>
    <w:rsid w:val="00DE2ED2"/>
    <w:rsid w:val="00DE30B3"/>
    <w:rsid w:val="00DE30F9"/>
    <w:rsid w:val="00DE329F"/>
    <w:rsid w:val="00DE3335"/>
    <w:rsid w:val="00DE39F9"/>
    <w:rsid w:val="00DE3B10"/>
    <w:rsid w:val="00DE3D01"/>
    <w:rsid w:val="00DE41F6"/>
    <w:rsid w:val="00DE42C1"/>
    <w:rsid w:val="00DE44EE"/>
    <w:rsid w:val="00DE456D"/>
    <w:rsid w:val="00DE4607"/>
    <w:rsid w:val="00DE49B9"/>
    <w:rsid w:val="00DE4BB5"/>
    <w:rsid w:val="00DE4D0E"/>
    <w:rsid w:val="00DE4F11"/>
    <w:rsid w:val="00DE4FD7"/>
    <w:rsid w:val="00DE522F"/>
    <w:rsid w:val="00DE53E7"/>
    <w:rsid w:val="00DE568D"/>
    <w:rsid w:val="00DE5871"/>
    <w:rsid w:val="00DE5AAD"/>
    <w:rsid w:val="00DE5C17"/>
    <w:rsid w:val="00DE621E"/>
    <w:rsid w:val="00DE63CC"/>
    <w:rsid w:val="00DE6442"/>
    <w:rsid w:val="00DE64FA"/>
    <w:rsid w:val="00DE6602"/>
    <w:rsid w:val="00DE667E"/>
    <w:rsid w:val="00DE6689"/>
    <w:rsid w:val="00DE668A"/>
    <w:rsid w:val="00DE6859"/>
    <w:rsid w:val="00DE6AE6"/>
    <w:rsid w:val="00DE6BF8"/>
    <w:rsid w:val="00DE6DED"/>
    <w:rsid w:val="00DE6DFF"/>
    <w:rsid w:val="00DE7207"/>
    <w:rsid w:val="00DE73F6"/>
    <w:rsid w:val="00DE7646"/>
    <w:rsid w:val="00DE76BD"/>
    <w:rsid w:val="00DE770E"/>
    <w:rsid w:val="00DE7835"/>
    <w:rsid w:val="00DE78C9"/>
    <w:rsid w:val="00DE79FE"/>
    <w:rsid w:val="00DE7A3C"/>
    <w:rsid w:val="00DE7E9D"/>
    <w:rsid w:val="00DE7EAE"/>
    <w:rsid w:val="00DE7F1F"/>
    <w:rsid w:val="00DF0002"/>
    <w:rsid w:val="00DF0141"/>
    <w:rsid w:val="00DF0181"/>
    <w:rsid w:val="00DF01CD"/>
    <w:rsid w:val="00DF0602"/>
    <w:rsid w:val="00DF06BE"/>
    <w:rsid w:val="00DF08D8"/>
    <w:rsid w:val="00DF0BB5"/>
    <w:rsid w:val="00DF0DF5"/>
    <w:rsid w:val="00DF10FE"/>
    <w:rsid w:val="00DF116D"/>
    <w:rsid w:val="00DF12A8"/>
    <w:rsid w:val="00DF1482"/>
    <w:rsid w:val="00DF173F"/>
    <w:rsid w:val="00DF18B1"/>
    <w:rsid w:val="00DF1947"/>
    <w:rsid w:val="00DF1A80"/>
    <w:rsid w:val="00DF1DB6"/>
    <w:rsid w:val="00DF1E68"/>
    <w:rsid w:val="00DF1FB9"/>
    <w:rsid w:val="00DF200C"/>
    <w:rsid w:val="00DF219F"/>
    <w:rsid w:val="00DF2334"/>
    <w:rsid w:val="00DF238B"/>
    <w:rsid w:val="00DF2635"/>
    <w:rsid w:val="00DF272A"/>
    <w:rsid w:val="00DF2998"/>
    <w:rsid w:val="00DF2BF7"/>
    <w:rsid w:val="00DF2C4D"/>
    <w:rsid w:val="00DF2CF3"/>
    <w:rsid w:val="00DF2D6E"/>
    <w:rsid w:val="00DF2E0C"/>
    <w:rsid w:val="00DF318E"/>
    <w:rsid w:val="00DF3243"/>
    <w:rsid w:val="00DF32AB"/>
    <w:rsid w:val="00DF3375"/>
    <w:rsid w:val="00DF3407"/>
    <w:rsid w:val="00DF34BD"/>
    <w:rsid w:val="00DF3541"/>
    <w:rsid w:val="00DF3618"/>
    <w:rsid w:val="00DF36D5"/>
    <w:rsid w:val="00DF37A4"/>
    <w:rsid w:val="00DF380C"/>
    <w:rsid w:val="00DF38EB"/>
    <w:rsid w:val="00DF3DC2"/>
    <w:rsid w:val="00DF3DE6"/>
    <w:rsid w:val="00DF3EFA"/>
    <w:rsid w:val="00DF3F3A"/>
    <w:rsid w:val="00DF4319"/>
    <w:rsid w:val="00DF453E"/>
    <w:rsid w:val="00DF4586"/>
    <w:rsid w:val="00DF4A03"/>
    <w:rsid w:val="00DF4B2C"/>
    <w:rsid w:val="00DF4D1C"/>
    <w:rsid w:val="00DF4D61"/>
    <w:rsid w:val="00DF4DCE"/>
    <w:rsid w:val="00DF4E36"/>
    <w:rsid w:val="00DF534E"/>
    <w:rsid w:val="00DF53AA"/>
    <w:rsid w:val="00DF545D"/>
    <w:rsid w:val="00DF5483"/>
    <w:rsid w:val="00DF54CB"/>
    <w:rsid w:val="00DF5775"/>
    <w:rsid w:val="00DF5EBD"/>
    <w:rsid w:val="00DF6036"/>
    <w:rsid w:val="00DF6118"/>
    <w:rsid w:val="00DF619C"/>
    <w:rsid w:val="00DF63C7"/>
    <w:rsid w:val="00DF648D"/>
    <w:rsid w:val="00DF66A3"/>
    <w:rsid w:val="00DF6780"/>
    <w:rsid w:val="00DF6B1B"/>
    <w:rsid w:val="00DF6C87"/>
    <w:rsid w:val="00DF6F47"/>
    <w:rsid w:val="00DF705F"/>
    <w:rsid w:val="00DF7098"/>
    <w:rsid w:val="00DF71C3"/>
    <w:rsid w:val="00DF72F1"/>
    <w:rsid w:val="00DF7777"/>
    <w:rsid w:val="00DF7909"/>
    <w:rsid w:val="00DF7B07"/>
    <w:rsid w:val="00DF7C19"/>
    <w:rsid w:val="00DF7C25"/>
    <w:rsid w:val="00E0070E"/>
    <w:rsid w:val="00E007AE"/>
    <w:rsid w:val="00E00CCC"/>
    <w:rsid w:val="00E00E88"/>
    <w:rsid w:val="00E00FA3"/>
    <w:rsid w:val="00E0137B"/>
    <w:rsid w:val="00E018B1"/>
    <w:rsid w:val="00E01B64"/>
    <w:rsid w:val="00E01C58"/>
    <w:rsid w:val="00E020BE"/>
    <w:rsid w:val="00E0213A"/>
    <w:rsid w:val="00E02359"/>
    <w:rsid w:val="00E02652"/>
    <w:rsid w:val="00E0278F"/>
    <w:rsid w:val="00E027A1"/>
    <w:rsid w:val="00E027D0"/>
    <w:rsid w:val="00E02879"/>
    <w:rsid w:val="00E02A1F"/>
    <w:rsid w:val="00E02B8E"/>
    <w:rsid w:val="00E02C64"/>
    <w:rsid w:val="00E02D2C"/>
    <w:rsid w:val="00E02E70"/>
    <w:rsid w:val="00E03125"/>
    <w:rsid w:val="00E03547"/>
    <w:rsid w:val="00E03614"/>
    <w:rsid w:val="00E03753"/>
    <w:rsid w:val="00E03754"/>
    <w:rsid w:val="00E037AC"/>
    <w:rsid w:val="00E03A00"/>
    <w:rsid w:val="00E03B0F"/>
    <w:rsid w:val="00E03B11"/>
    <w:rsid w:val="00E03BDE"/>
    <w:rsid w:val="00E03FAF"/>
    <w:rsid w:val="00E0409A"/>
    <w:rsid w:val="00E040B8"/>
    <w:rsid w:val="00E04629"/>
    <w:rsid w:val="00E046E1"/>
    <w:rsid w:val="00E0472D"/>
    <w:rsid w:val="00E04797"/>
    <w:rsid w:val="00E04844"/>
    <w:rsid w:val="00E0493D"/>
    <w:rsid w:val="00E04C87"/>
    <w:rsid w:val="00E04D20"/>
    <w:rsid w:val="00E04F9C"/>
    <w:rsid w:val="00E04FDE"/>
    <w:rsid w:val="00E0513B"/>
    <w:rsid w:val="00E05382"/>
    <w:rsid w:val="00E053BE"/>
    <w:rsid w:val="00E056BC"/>
    <w:rsid w:val="00E05761"/>
    <w:rsid w:val="00E05773"/>
    <w:rsid w:val="00E05939"/>
    <w:rsid w:val="00E059E4"/>
    <w:rsid w:val="00E05A12"/>
    <w:rsid w:val="00E05D5F"/>
    <w:rsid w:val="00E05EAA"/>
    <w:rsid w:val="00E05F4D"/>
    <w:rsid w:val="00E061A1"/>
    <w:rsid w:val="00E0626A"/>
    <w:rsid w:val="00E06341"/>
    <w:rsid w:val="00E063A1"/>
    <w:rsid w:val="00E06524"/>
    <w:rsid w:val="00E0663E"/>
    <w:rsid w:val="00E066E1"/>
    <w:rsid w:val="00E069C5"/>
    <w:rsid w:val="00E069D9"/>
    <w:rsid w:val="00E06D3A"/>
    <w:rsid w:val="00E06F0A"/>
    <w:rsid w:val="00E07324"/>
    <w:rsid w:val="00E07466"/>
    <w:rsid w:val="00E074F1"/>
    <w:rsid w:val="00E07567"/>
    <w:rsid w:val="00E077B2"/>
    <w:rsid w:val="00E077CD"/>
    <w:rsid w:val="00E078AE"/>
    <w:rsid w:val="00E078F9"/>
    <w:rsid w:val="00E079E2"/>
    <w:rsid w:val="00E07AC4"/>
    <w:rsid w:val="00E07B22"/>
    <w:rsid w:val="00E07B98"/>
    <w:rsid w:val="00E100E3"/>
    <w:rsid w:val="00E101AA"/>
    <w:rsid w:val="00E101EF"/>
    <w:rsid w:val="00E107A4"/>
    <w:rsid w:val="00E1099B"/>
    <w:rsid w:val="00E10A81"/>
    <w:rsid w:val="00E10B15"/>
    <w:rsid w:val="00E10DBA"/>
    <w:rsid w:val="00E1105F"/>
    <w:rsid w:val="00E11235"/>
    <w:rsid w:val="00E11243"/>
    <w:rsid w:val="00E113BF"/>
    <w:rsid w:val="00E1165C"/>
    <w:rsid w:val="00E11B39"/>
    <w:rsid w:val="00E11B46"/>
    <w:rsid w:val="00E11E03"/>
    <w:rsid w:val="00E11F4C"/>
    <w:rsid w:val="00E11FCA"/>
    <w:rsid w:val="00E12099"/>
    <w:rsid w:val="00E124BD"/>
    <w:rsid w:val="00E125A5"/>
    <w:rsid w:val="00E127A4"/>
    <w:rsid w:val="00E127FA"/>
    <w:rsid w:val="00E12840"/>
    <w:rsid w:val="00E12873"/>
    <w:rsid w:val="00E12A77"/>
    <w:rsid w:val="00E12B25"/>
    <w:rsid w:val="00E12E31"/>
    <w:rsid w:val="00E13052"/>
    <w:rsid w:val="00E13361"/>
    <w:rsid w:val="00E13504"/>
    <w:rsid w:val="00E13663"/>
    <w:rsid w:val="00E137DD"/>
    <w:rsid w:val="00E13B1D"/>
    <w:rsid w:val="00E13D36"/>
    <w:rsid w:val="00E13DA4"/>
    <w:rsid w:val="00E1412B"/>
    <w:rsid w:val="00E14210"/>
    <w:rsid w:val="00E1446C"/>
    <w:rsid w:val="00E14A26"/>
    <w:rsid w:val="00E14F0B"/>
    <w:rsid w:val="00E15355"/>
    <w:rsid w:val="00E15696"/>
    <w:rsid w:val="00E159AF"/>
    <w:rsid w:val="00E159D7"/>
    <w:rsid w:val="00E15A50"/>
    <w:rsid w:val="00E15BAA"/>
    <w:rsid w:val="00E15DED"/>
    <w:rsid w:val="00E15FD8"/>
    <w:rsid w:val="00E160B3"/>
    <w:rsid w:val="00E16140"/>
    <w:rsid w:val="00E162C2"/>
    <w:rsid w:val="00E164F7"/>
    <w:rsid w:val="00E16572"/>
    <w:rsid w:val="00E16586"/>
    <w:rsid w:val="00E1683C"/>
    <w:rsid w:val="00E168FA"/>
    <w:rsid w:val="00E16DDC"/>
    <w:rsid w:val="00E17057"/>
    <w:rsid w:val="00E17578"/>
    <w:rsid w:val="00E176A4"/>
    <w:rsid w:val="00E17ACF"/>
    <w:rsid w:val="00E17BDA"/>
    <w:rsid w:val="00E2008A"/>
    <w:rsid w:val="00E20197"/>
    <w:rsid w:val="00E2027C"/>
    <w:rsid w:val="00E20291"/>
    <w:rsid w:val="00E202E1"/>
    <w:rsid w:val="00E20302"/>
    <w:rsid w:val="00E2047E"/>
    <w:rsid w:val="00E20A3F"/>
    <w:rsid w:val="00E20D02"/>
    <w:rsid w:val="00E20DA2"/>
    <w:rsid w:val="00E20FCA"/>
    <w:rsid w:val="00E20FFA"/>
    <w:rsid w:val="00E2105A"/>
    <w:rsid w:val="00E21171"/>
    <w:rsid w:val="00E21234"/>
    <w:rsid w:val="00E2125A"/>
    <w:rsid w:val="00E2149C"/>
    <w:rsid w:val="00E21616"/>
    <w:rsid w:val="00E2194C"/>
    <w:rsid w:val="00E21977"/>
    <w:rsid w:val="00E21C34"/>
    <w:rsid w:val="00E21D60"/>
    <w:rsid w:val="00E21DC2"/>
    <w:rsid w:val="00E21ED5"/>
    <w:rsid w:val="00E21F2C"/>
    <w:rsid w:val="00E22009"/>
    <w:rsid w:val="00E2233C"/>
    <w:rsid w:val="00E22570"/>
    <w:rsid w:val="00E23115"/>
    <w:rsid w:val="00E236EC"/>
    <w:rsid w:val="00E23863"/>
    <w:rsid w:val="00E23B03"/>
    <w:rsid w:val="00E23B32"/>
    <w:rsid w:val="00E23D6A"/>
    <w:rsid w:val="00E23F79"/>
    <w:rsid w:val="00E24078"/>
    <w:rsid w:val="00E240B1"/>
    <w:rsid w:val="00E242C5"/>
    <w:rsid w:val="00E243B5"/>
    <w:rsid w:val="00E247A5"/>
    <w:rsid w:val="00E247AB"/>
    <w:rsid w:val="00E24877"/>
    <w:rsid w:val="00E24B79"/>
    <w:rsid w:val="00E24CDC"/>
    <w:rsid w:val="00E24D4A"/>
    <w:rsid w:val="00E24F6F"/>
    <w:rsid w:val="00E25059"/>
    <w:rsid w:val="00E25204"/>
    <w:rsid w:val="00E253AA"/>
    <w:rsid w:val="00E25408"/>
    <w:rsid w:val="00E25459"/>
    <w:rsid w:val="00E25956"/>
    <w:rsid w:val="00E25BC4"/>
    <w:rsid w:val="00E25E2C"/>
    <w:rsid w:val="00E25F3B"/>
    <w:rsid w:val="00E25F72"/>
    <w:rsid w:val="00E26372"/>
    <w:rsid w:val="00E263E2"/>
    <w:rsid w:val="00E26545"/>
    <w:rsid w:val="00E2664C"/>
    <w:rsid w:val="00E26BE0"/>
    <w:rsid w:val="00E26E4D"/>
    <w:rsid w:val="00E272C9"/>
    <w:rsid w:val="00E273CF"/>
    <w:rsid w:val="00E27469"/>
    <w:rsid w:val="00E27714"/>
    <w:rsid w:val="00E27856"/>
    <w:rsid w:val="00E27C7C"/>
    <w:rsid w:val="00E27CFD"/>
    <w:rsid w:val="00E27EA8"/>
    <w:rsid w:val="00E3011A"/>
    <w:rsid w:val="00E3025C"/>
    <w:rsid w:val="00E3032F"/>
    <w:rsid w:val="00E30496"/>
    <w:rsid w:val="00E305FF"/>
    <w:rsid w:val="00E30736"/>
    <w:rsid w:val="00E309F7"/>
    <w:rsid w:val="00E30A52"/>
    <w:rsid w:val="00E30B56"/>
    <w:rsid w:val="00E30EA5"/>
    <w:rsid w:val="00E313CC"/>
    <w:rsid w:val="00E31534"/>
    <w:rsid w:val="00E316CA"/>
    <w:rsid w:val="00E31B19"/>
    <w:rsid w:val="00E31D8B"/>
    <w:rsid w:val="00E31DE0"/>
    <w:rsid w:val="00E31F54"/>
    <w:rsid w:val="00E321FB"/>
    <w:rsid w:val="00E32247"/>
    <w:rsid w:val="00E3239E"/>
    <w:rsid w:val="00E32443"/>
    <w:rsid w:val="00E327A1"/>
    <w:rsid w:val="00E328D9"/>
    <w:rsid w:val="00E32AF5"/>
    <w:rsid w:val="00E32DEA"/>
    <w:rsid w:val="00E330E9"/>
    <w:rsid w:val="00E33331"/>
    <w:rsid w:val="00E333FF"/>
    <w:rsid w:val="00E337E8"/>
    <w:rsid w:val="00E3387D"/>
    <w:rsid w:val="00E338D5"/>
    <w:rsid w:val="00E33ADE"/>
    <w:rsid w:val="00E33B2F"/>
    <w:rsid w:val="00E33BC3"/>
    <w:rsid w:val="00E33F55"/>
    <w:rsid w:val="00E34078"/>
    <w:rsid w:val="00E34119"/>
    <w:rsid w:val="00E34537"/>
    <w:rsid w:val="00E34597"/>
    <w:rsid w:val="00E34640"/>
    <w:rsid w:val="00E346CE"/>
    <w:rsid w:val="00E346F3"/>
    <w:rsid w:val="00E348F8"/>
    <w:rsid w:val="00E34A1C"/>
    <w:rsid w:val="00E34AAB"/>
    <w:rsid w:val="00E34ADA"/>
    <w:rsid w:val="00E34F72"/>
    <w:rsid w:val="00E34FBF"/>
    <w:rsid w:val="00E35097"/>
    <w:rsid w:val="00E35165"/>
    <w:rsid w:val="00E35523"/>
    <w:rsid w:val="00E35611"/>
    <w:rsid w:val="00E35C0D"/>
    <w:rsid w:val="00E36049"/>
    <w:rsid w:val="00E36398"/>
    <w:rsid w:val="00E364A3"/>
    <w:rsid w:val="00E364FE"/>
    <w:rsid w:val="00E3655C"/>
    <w:rsid w:val="00E36783"/>
    <w:rsid w:val="00E3678E"/>
    <w:rsid w:val="00E36945"/>
    <w:rsid w:val="00E36AC5"/>
    <w:rsid w:val="00E36BD7"/>
    <w:rsid w:val="00E36F18"/>
    <w:rsid w:val="00E36FE9"/>
    <w:rsid w:val="00E374BE"/>
    <w:rsid w:val="00E374D4"/>
    <w:rsid w:val="00E377AF"/>
    <w:rsid w:val="00E37841"/>
    <w:rsid w:val="00E379D7"/>
    <w:rsid w:val="00E37AC8"/>
    <w:rsid w:val="00E37EEF"/>
    <w:rsid w:val="00E40093"/>
    <w:rsid w:val="00E40764"/>
    <w:rsid w:val="00E40B68"/>
    <w:rsid w:val="00E40C5D"/>
    <w:rsid w:val="00E40D94"/>
    <w:rsid w:val="00E4139E"/>
    <w:rsid w:val="00E41467"/>
    <w:rsid w:val="00E4154D"/>
    <w:rsid w:val="00E41A6E"/>
    <w:rsid w:val="00E41AEB"/>
    <w:rsid w:val="00E41B52"/>
    <w:rsid w:val="00E41D2B"/>
    <w:rsid w:val="00E41D65"/>
    <w:rsid w:val="00E4203D"/>
    <w:rsid w:val="00E42057"/>
    <w:rsid w:val="00E4210E"/>
    <w:rsid w:val="00E42349"/>
    <w:rsid w:val="00E4237C"/>
    <w:rsid w:val="00E427AA"/>
    <w:rsid w:val="00E43219"/>
    <w:rsid w:val="00E4338B"/>
    <w:rsid w:val="00E433D4"/>
    <w:rsid w:val="00E43515"/>
    <w:rsid w:val="00E43618"/>
    <w:rsid w:val="00E43655"/>
    <w:rsid w:val="00E437FA"/>
    <w:rsid w:val="00E43927"/>
    <w:rsid w:val="00E43989"/>
    <w:rsid w:val="00E439B1"/>
    <w:rsid w:val="00E43A7A"/>
    <w:rsid w:val="00E43F0D"/>
    <w:rsid w:val="00E44197"/>
    <w:rsid w:val="00E441A4"/>
    <w:rsid w:val="00E44278"/>
    <w:rsid w:val="00E4453D"/>
    <w:rsid w:val="00E44834"/>
    <w:rsid w:val="00E4483B"/>
    <w:rsid w:val="00E44DBC"/>
    <w:rsid w:val="00E4529A"/>
    <w:rsid w:val="00E452EC"/>
    <w:rsid w:val="00E4564C"/>
    <w:rsid w:val="00E45820"/>
    <w:rsid w:val="00E45A06"/>
    <w:rsid w:val="00E45AD3"/>
    <w:rsid w:val="00E45E1C"/>
    <w:rsid w:val="00E45E1D"/>
    <w:rsid w:val="00E45EE5"/>
    <w:rsid w:val="00E46390"/>
    <w:rsid w:val="00E4666A"/>
    <w:rsid w:val="00E46728"/>
    <w:rsid w:val="00E46875"/>
    <w:rsid w:val="00E468D9"/>
    <w:rsid w:val="00E46ADD"/>
    <w:rsid w:val="00E46CCF"/>
    <w:rsid w:val="00E47113"/>
    <w:rsid w:val="00E4722F"/>
    <w:rsid w:val="00E47A07"/>
    <w:rsid w:val="00E47AB8"/>
    <w:rsid w:val="00E47B1D"/>
    <w:rsid w:val="00E47BD0"/>
    <w:rsid w:val="00E47DEC"/>
    <w:rsid w:val="00E5039C"/>
    <w:rsid w:val="00E505EB"/>
    <w:rsid w:val="00E5093D"/>
    <w:rsid w:val="00E50C67"/>
    <w:rsid w:val="00E50D3A"/>
    <w:rsid w:val="00E50FFA"/>
    <w:rsid w:val="00E51122"/>
    <w:rsid w:val="00E51133"/>
    <w:rsid w:val="00E511D2"/>
    <w:rsid w:val="00E51565"/>
    <w:rsid w:val="00E51747"/>
    <w:rsid w:val="00E518CE"/>
    <w:rsid w:val="00E51AC0"/>
    <w:rsid w:val="00E520D2"/>
    <w:rsid w:val="00E522C1"/>
    <w:rsid w:val="00E522D8"/>
    <w:rsid w:val="00E52390"/>
    <w:rsid w:val="00E526C0"/>
    <w:rsid w:val="00E526CF"/>
    <w:rsid w:val="00E528E4"/>
    <w:rsid w:val="00E52A63"/>
    <w:rsid w:val="00E52C1B"/>
    <w:rsid w:val="00E5322E"/>
    <w:rsid w:val="00E5335E"/>
    <w:rsid w:val="00E53593"/>
    <w:rsid w:val="00E535CF"/>
    <w:rsid w:val="00E53638"/>
    <w:rsid w:val="00E53BFF"/>
    <w:rsid w:val="00E53CDC"/>
    <w:rsid w:val="00E53E6B"/>
    <w:rsid w:val="00E5415A"/>
    <w:rsid w:val="00E54282"/>
    <w:rsid w:val="00E543E8"/>
    <w:rsid w:val="00E544D1"/>
    <w:rsid w:val="00E544DF"/>
    <w:rsid w:val="00E544FE"/>
    <w:rsid w:val="00E546F6"/>
    <w:rsid w:val="00E5472C"/>
    <w:rsid w:val="00E54815"/>
    <w:rsid w:val="00E54851"/>
    <w:rsid w:val="00E5489D"/>
    <w:rsid w:val="00E549CB"/>
    <w:rsid w:val="00E54B36"/>
    <w:rsid w:val="00E54BD7"/>
    <w:rsid w:val="00E54C56"/>
    <w:rsid w:val="00E54F33"/>
    <w:rsid w:val="00E54FDD"/>
    <w:rsid w:val="00E55247"/>
    <w:rsid w:val="00E555F4"/>
    <w:rsid w:val="00E556A5"/>
    <w:rsid w:val="00E556B1"/>
    <w:rsid w:val="00E557EC"/>
    <w:rsid w:val="00E558B0"/>
    <w:rsid w:val="00E55D55"/>
    <w:rsid w:val="00E55E53"/>
    <w:rsid w:val="00E55E54"/>
    <w:rsid w:val="00E55E6D"/>
    <w:rsid w:val="00E55EBB"/>
    <w:rsid w:val="00E55F2C"/>
    <w:rsid w:val="00E56524"/>
    <w:rsid w:val="00E567B9"/>
    <w:rsid w:val="00E56BC8"/>
    <w:rsid w:val="00E56C05"/>
    <w:rsid w:val="00E56F92"/>
    <w:rsid w:val="00E5747B"/>
    <w:rsid w:val="00E57905"/>
    <w:rsid w:val="00E5790A"/>
    <w:rsid w:val="00E57985"/>
    <w:rsid w:val="00E57A13"/>
    <w:rsid w:val="00E57A34"/>
    <w:rsid w:val="00E57B18"/>
    <w:rsid w:val="00E57B7B"/>
    <w:rsid w:val="00E57D67"/>
    <w:rsid w:val="00E57F64"/>
    <w:rsid w:val="00E600DB"/>
    <w:rsid w:val="00E602C4"/>
    <w:rsid w:val="00E60301"/>
    <w:rsid w:val="00E6030F"/>
    <w:rsid w:val="00E6031B"/>
    <w:rsid w:val="00E60383"/>
    <w:rsid w:val="00E603DA"/>
    <w:rsid w:val="00E60424"/>
    <w:rsid w:val="00E6058E"/>
    <w:rsid w:val="00E60779"/>
    <w:rsid w:val="00E60AAF"/>
    <w:rsid w:val="00E60C94"/>
    <w:rsid w:val="00E60DF6"/>
    <w:rsid w:val="00E60FEB"/>
    <w:rsid w:val="00E61257"/>
    <w:rsid w:val="00E61489"/>
    <w:rsid w:val="00E6150E"/>
    <w:rsid w:val="00E61778"/>
    <w:rsid w:val="00E61979"/>
    <w:rsid w:val="00E61B9A"/>
    <w:rsid w:val="00E61BE2"/>
    <w:rsid w:val="00E61C1A"/>
    <w:rsid w:val="00E622ED"/>
    <w:rsid w:val="00E623D4"/>
    <w:rsid w:val="00E623FA"/>
    <w:rsid w:val="00E6245B"/>
    <w:rsid w:val="00E62474"/>
    <w:rsid w:val="00E627ED"/>
    <w:rsid w:val="00E62AEB"/>
    <w:rsid w:val="00E62BBB"/>
    <w:rsid w:val="00E62C6F"/>
    <w:rsid w:val="00E62DE5"/>
    <w:rsid w:val="00E62E04"/>
    <w:rsid w:val="00E62E87"/>
    <w:rsid w:val="00E62E97"/>
    <w:rsid w:val="00E63209"/>
    <w:rsid w:val="00E63640"/>
    <w:rsid w:val="00E636DA"/>
    <w:rsid w:val="00E6397E"/>
    <w:rsid w:val="00E63C51"/>
    <w:rsid w:val="00E63F5B"/>
    <w:rsid w:val="00E63FEE"/>
    <w:rsid w:val="00E64181"/>
    <w:rsid w:val="00E64254"/>
    <w:rsid w:val="00E6455D"/>
    <w:rsid w:val="00E645D1"/>
    <w:rsid w:val="00E6478D"/>
    <w:rsid w:val="00E647FE"/>
    <w:rsid w:val="00E64944"/>
    <w:rsid w:val="00E64B6E"/>
    <w:rsid w:val="00E64C78"/>
    <w:rsid w:val="00E64DA2"/>
    <w:rsid w:val="00E64DE2"/>
    <w:rsid w:val="00E64EF9"/>
    <w:rsid w:val="00E6540D"/>
    <w:rsid w:val="00E654A3"/>
    <w:rsid w:val="00E65785"/>
    <w:rsid w:val="00E65953"/>
    <w:rsid w:val="00E65BC4"/>
    <w:rsid w:val="00E65C0E"/>
    <w:rsid w:val="00E65CD3"/>
    <w:rsid w:val="00E65CD5"/>
    <w:rsid w:val="00E65EC9"/>
    <w:rsid w:val="00E6638F"/>
    <w:rsid w:val="00E66563"/>
    <w:rsid w:val="00E668DD"/>
    <w:rsid w:val="00E66A2B"/>
    <w:rsid w:val="00E66BCF"/>
    <w:rsid w:val="00E66C4C"/>
    <w:rsid w:val="00E66DF7"/>
    <w:rsid w:val="00E66F2A"/>
    <w:rsid w:val="00E67047"/>
    <w:rsid w:val="00E672A6"/>
    <w:rsid w:val="00E67353"/>
    <w:rsid w:val="00E67397"/>
    <w:rsid w:val="00E673AE"/>
    <w:rsid w:val="00E678CB"/>
    <w:rsid w:val="00E678F8"/>
    <w:rsid w:val="00E67AB3"/>
    <w:rsid w:val="00E67CC6"/>
    <w:rsid w:val="00E67DF7"/>
    <w:rsid w:val="00E67FF7"/>
    <w:rsid w:val="00E701BA"/>
    <w:rsid w:val="00E70224"/>
    <w:rsid w:val="00E70242"/>
    <w:rsid w:val="00E703F1"/>
    <w:rsid w:val="00E70460"/>
    <w:rsid w:val="00E70512"/>
    <w:rsid w:val="00E70582"/>
    <w:rsid w:val="00E70A93"/>
    <w:rsid w:val="00E70BD8"/>
    <w:rsid w:val="00E70EFF"/>
    <w:rsid w:val="00E70F99"/>
    <w:rsid w:val="00E71546"/>
    <w:rsid w:val="00E71A46"/>
    <w:rsid w:val="00E71C2C"/>
    <w:rsid w:val="00E71C70"/>
    <w:rsid w:val="00E71D37"/>
    <w:rsid w:val="00E71E69"/>
    <w:rsid w:val="00E721B6"/>
    <w:rsid w:val="00E721F7"/>
    <w:rsid w:val="00E72446"/>
    <w:rsid w:val="00E72696"/>
    <w:rsid w:val="00E72863"/>
    <w:rsid w:val="00E72B07"/>
    <w:rsid w:val="00E72BA6"/>
    <w:rsid w:val="00E72C9B"/>
    <w:rsid w:val="00E72D8B"/>
    <w:rsid w:val="00E72DCA"/>
    <w:rsid w:val="00E72E82"/>
    <w:rsid w:val="00E72EAD"/>
    <w:rsid w:val="00E72F20"/>
    <w:rsid w:val="00E73130"/>
    <w:rsid w:val="00E73185"/>
    <w:rsid w:val="00E733EE"/>
    <w:rsid w:val="00E73424"/>
    <w:rsid w:val="00E734FD"/>
    <w:rsid w:val="00E73512"/>
    <w:rsid w:val="00E738F5"/>
    <w:rsid w:val="00E73905"/>
    <w:rsid w:val="00E73EA6"/>
    <w:rsid w:val="00E74089"/>
    <w:rsid w:val="00E74736"/>
    <w:rsid w:val="00E747F2"/>
    <w:rsid w:val="00E749EB"/>
    <w:rsid w:val="00E74B22"/>
    <w:rsid w:val="00E74C3E"/>
    <w:rsid w:val="00E74C61"/>
    <w:rsid w:val="00E74D4F"/>
    <w:rsid w:val="00E74E4A"/>
    <w:rsid w:val="00E750A3"/>
    <w:rsid w:val="00E75216"/>
    <w:rsid w:val="00E753C5"/>
    <w:rsid w:val="00E75472"/>
    <w:rsid w:val="00E755AA"/>
    <w:rsid w:val="00E756A3"/>
    <w:rsid w:val="00E75819"/>
    <w:rsid w:val="00E758B0"/>
    <w:rsid w:val="00E758DD"/>
    <w:rsid w:val="00E75A89"/>
    <w:rsid w:val="00E75CA1"/>
    <w:rsid w:val="00E76001"/>
    <w:rsid w:val="00E76134"/>
    <w:rsid w:val="00E761A0"/>
    <w:rsid w:val="00E7634A"/>
    <w:rsid w:val="00E7668A"/>
    <w:rsid w:val="00E76D69"/>
    <w:rsid w:val="00E76FDE"/>
    <w:rsid w:val="00E7701D"/>
    <w:rsid w:val="00E7718A"/>
    <w:rsid w:val="00E7728E"/>
    <w:rsid w:val="00E7729A"/>
    <w:rsid w:val="00E774DD"/>
    <w:rsid w:val="00E77768"/>
    <w:rsid w:val="00E777C9"/>
    <w:rsid w:val="00E77D50"/>
    <w:rsid w:val="00E77D70"/>
    <w:rsid w:val="00E802DE"/>
    <w:rsid w:val="00E8055E"/>
    <w:rsid w:val="00E80701"/>
    <w:rsid w:val="00E80C10"/>
    <w:rsid w:val="00E81075"/>
    <w:rsid w:val="00E81158"/>
    <w:rsid w:val="00E81375"/>
    <w:rsid w:val="00E8142D"/>
    <w:rsid w:val="00E8169D"/>
    <w:rsid w:val="00E8183F"/>
    <w:rsid w:val="00E81A74"/>
    <w:rsid w:val="00E82024"/>
    <w:rsid w:val="00E820B9"/>
    <w:rsid w:val="00E82251"/>
    <w:rsid w:val="00E8266B"/>
    <w:rsid w:val="00E826BD"/>
    <w:rsid w:val="00E82746"/>
    <w:rsid w:val="00E827C3"/>
    <w:rsid w:val="00E82AFA"/>
    <w:rsid w:val="00E82AFE"/>
    <w:rsid w:val="00E82B64"/>
    <w:rsid w:val="00E82E34"/>
    <w:rsid w:val="00E82F82"/>
    <w:rsid w:val="00E831B4"/>
    <w:rsid w:val="00E83426"/>
    <w:rsid w:val="00E834B9"/>
    <w:rsid w:val="00E8356D"/>
    <w:rsid w:val="00E83643"/>
    <w:rsid w:val="00E83867"/>
    <w:rsid w:val="00E83A78"/>
    <w:rsid w:val="00E83DA4"/>
    <w:rsid w:val="00E83EF7"/>
    <w:rsid w:val="00E83FA4"/>
    <w:rsid w:val="00E83FDF"/>
    <w:rsid w:val="00E84071"/>
    <w:rsid w:val="00E84304"/>
    <w:rsid w:val="00E844AC"/>
    <w:rsid w:val="00E844DE"/>
    <w:rsid w:val="00E846F5"/>
    <w:rsid w:val="00E84768"/>
    <w:rsid w:val="00E847E6"/>
    <w:rsid w:val="00E84E1B"/>
    <w:rsid w:val="00E85131"/>
    <w:rsid w:val="00E8523F"/>
    <w:rsid w:val="00E85432"/>
    <w:rsid w:val="00E854F5"/>
    <w:rsid w:val="00E857BC"/>
    <w:rsid w:val="00E85D10"/>
    <w:rsid w:val="00E85EDD"/>
    <w:rsid w:val="00E85F74"/>
    <w:rsid w:val="00E861A5"/>
    <w:rsid w:val="00E86956"/>
    <w:rsid w:val="00E86A0C"/>
    <w:rsid w:val="00E86CA5"/>
    <w:rsid w:val="00E86EB7"/>
    <w:rsid w:val="00E87059"/>
    <w:rsid w:val="00E87315"/>
    <w:rsid w:val="00E874A2"/>
    <w:rsid w:val="00E878DD"/>
    <w:rsid w:val="00E87B2B"/>
    <w:rsid w:val="00E87F5E"/>
    <w:rsid w:val="00E87F66"/>
    <w:rsid w:val="00E87FB7"/>
    <w:rsid w:val="00E9039A"/>
    <w:rsid w:val="00E905CA"/>
    <w:rsid w:val="00E9071E"/>
    <w:rsid w:val="00E907FC"/>
    <w:rsid w:val="00E90897"/>
    <w:rsid w:val="00E908A0"/>
    <w:rsid w:val="00E9093A"/>
    <w:rsid w:val="00E90AC6"/>
    <w:rsid w:val="00E9126A"/>
    <w:rsid w:val="00E915D2"/>
    <w:rsid w:val="00E91ACE"/>
    <w:rsid w:val="00E91CE5"/>
    <w:rsid w:val="00E91DB9"/>
    <w:rsid w:val="00E91EAB"/>
    <w:rsid w:val="00E91F99"/>
    <w:rsid w:val="00E922AB"/>
    <w:rsid w:val="00E9258D"/>
    <w:rsid w:val="00E92720"/>
    <w:rsid w:val="00E92768"/>
    <w:rsid w:val="00E9283F"/>
    <w:rsid w:val="00E9316A"/>
    <w:rsid w:val="00E9329F"/>
    <w:rsid w:val="00E932FE"/>
    <w:rsid w:val="00E9361A"/>
    <w:rsid w:val="00E9365B"/>
    <w:rsid w:val="00E937F5"/>
    <w:rsid w:val="00E939AE"/>
    <w:rsid w:val="00E939EE"/>
    <w:rsid w:val="00E93D33"/>
    <w:rsid w:val="00E93FAB"/>
    <w:rsid w:val="00E94292"/>
    <w:rsid w:val="00E9441B"/>
    <w:rsid w:val="00E9452D"/>
    <w:rsid w:val="00E94879"/>
    <w:rsid w:val="00E94AD4"/>
    <w:rsid w:val="00E94C5A"/>
    <w:rsid w:val="00E94EC3"/>
    <w:rsid w:val="00E94F58"/>
    <w:rsid w:val="00E94FF4"/>
    <w:rsid w:val="00E9511A"/>
    <w:rsid w:val="00E9522D"/>
    <w:rsid w:val="00E9529B"/>
    <w:rsid w:val="00E956DE"/>
    <w:rsid w:val="00E95CAC"/>
    <w:rsid w:val="00E95DAB"/>
    <w:rsid w:val="00E95E95"/>
    <w:rsid w:val="00E95E99"/>
    <w:rsid w:val="00E95F97"/>
    <w:rsid w:val="00E9656B"/>
    <w:rsid w:val="00E969C8"/>
    <w:rsid w:val="00E96D09"/>
    <w:rsid w:val="00E96FA5"/>
    <w:rsid w:val="00E97174"/>
    <w:rsid w:val="00E975FE"/>
    <w:rsid w:val="00E97735"/>
    <w:rsid w:val="00E9785C"/>
    <w:rsid w:val="00E97B77"/>
    <w:rsid w:val="00E97D08"/>
    <w:rsid w:val="00E97D40"/>
    <w:rsid w:val="00EA0238"/>
    <w:rsid w:val="00EA0351"/>
    <w:rsid w:val="00EA0359"/>
    <w:rsid w:val="00EA03AA"/>
    <w:rsid w:val="00EA046B"/>
    <w:rsid w:val="00EA057F"/>
    <w:rsid w:val="00EA0B03"/>
    <w:rsid w:val="00EA1547"/>
    <w:rsid w:val="00EA183B"/>
    <w:rsid w:val="00EA18E3"/>
    <w:rsid w:val="00EA1B24"/>
    <w:rsid w:val="00EA1B33"/>
    <w:rsid w:val="00EA1B90"/>
    <w:rsid w:val="00EA1F18"/>
    <w:rsid w:val="00EA2239"/>
    <w:rsid w:val="00EA2600"/>
    <w:rsid w:val="00EA278A"/>
    <w:rsid w:val="00EA2869"/>
    <w:rsid w:val="00EA2BC3"/>
    <w:rsid w:val="00EA2F43"/>
    <w:rsid w:val="00EA30B3"/>
    <w:rsid w:val="00EA30C5"/>
    <w:rsid w:val="00EA316D"/>
    <w:rsid w:val="00EA3375"/>
    <w:rsid w:val="00EA34C5"/>
    <w:rsid w:val="00EA352B"/>
    <w:rsid w:val="00EA3747"/>
    <w:rsid w:val="00EA3764"/>
    <w:rsid w:val="00EA3A52"/>
    <w:rsid w:val="00EA3BDF"/>
    <w:rsid w:val="00EA3C89"/>
    <w:rsid w:val="00EA3CD6"/>
    <w:rsid w:val="00EA4248"/>
    <w:rsid w:val="00EA42A6"/>
    <w:rsid w:val="00EA445B"/>
    <w:rsid w:val="00EA4516"/>
    <w:rsid w:val="00EA4662"/>
    <w:rsid w:val="00EA47CF"/>
    <w:rsid w:val="00EA4F84"/>
    <w:rsid w:val="00EA501F"/>
    <w:rsid w:val="00EA51A0"/>
    <w:rsid w:val="00EA5228"/>
    <w:rsid w:val="00EA539D"/>
    <w:rsid w:val="00EA559E"/>
    <w:rsid w:val="00EA5A1E"/>
    <w:rsid w:val="00EA5AF6"/>
    <w:rsid w:val="00EA5C5E"/>
    <w:rsid w:val="00EA5E1B"/>
    <w:rsid w:val="00EA5F41"/>
    <w:rsid w:val="00EA6037"/>
    <w:rsid w:val="00EA628B"/>
    <w:rsid w:val="00EA65AB"/>
    <w:rsid w:val="00EA668C"/>
    <w:rsid w:val="00EA6813"/>
    <w:rsid w:val="00EA6AFF"/>
    <w:rsid w:val="00EA6B40"/>
    <w:rsid w:val="00EA6C0F"/>
    <w:rsid w:val="00EA6C19"/>
    <w:rsid w:val="00EA6C5A"/>
    <w:rsid w:val="00EA6DC0"/>
    <w:rsid w:val="00EA6DDF"/>
    <w:rsid w:val="00EA6F16"/>
    <w:rsid w:val="00EA6FC8"/>
    <w:rsid w:val="00EA71D4"/>
    <w:rsid w:val="00EA7231"/>
    <w:rsid w:val="00EA75B0"/>
    <w:rsid w:val="00EA790D"/>
    <w:rsid w:val="00EA7917"/>
    <w:rsid w:val="00EA7A08"/>
    <w:rsid w:val="00EA7B56"/>
    <w:rsid w:val="00EA7C7C"/>
    <w:rsid w:val="00EA7D49"/>
    <w:rsid w:val="00EB0052"/>
    <w:rsid w:val="00EB0721"/>
    <w:rsid w:val="00EB0834"/>
    <w:rsid w:val="00EB09AD"/>
    <w:rsid w:val="00EB0AA0"/>
    <w:rsid w:val="00EB0B56"/>
    <w:rsid w:val="00EB0C0C"/>
    <w:rsid w:val="00EB0C16"/>
    <w:rsid w:val="00EB0E15"/>
    <w:rsid w:val="00EB0E9E"/>
    <w:rsid w:val="00EB0FD8"/>
    <w:rsid w:val="00EB115A"/>
    <w:rsid w:val="00EB12ED"/>
    <w:rsid w:val="00EB14A1"/>
    <w:rsid w:val="00EB176B"/>
    <w:rsid w:val="00EB19F5"/>
    <w:rsid w:val="00EB1A07"/>
    <w:rsid w:val="00EB1A32"/>
    <w:rsid w:val="00EB1AC8"/>
    <w:rsid w:val="00EB1B43"/>
    <w:rsid w:val="00EB1C8C"/>
    <w:rsid w:val="00EB21B3"/>
    <w:rsid w:val="00EB2718"/>
    <w:rsid w:val="00EB2761"/>
    <w:rsid w:val="00EB29E8"/>
    <w:rsid w:val="00EB2A09"/>
    <w:rsid w:val="00EB2A65"/>
    <w:rsid w:val="00EB2BA8"/>
    <w:rsid w:val="00EB2C53"/>
    <w:rsid w:val="00EB2DA3"/>
    <w:rsid w:val="00EB2FBE"/>
    <w:rsid w:val="00EB2FC3"/>
    <w:rsid w:val="00EB30EC"/>
    <w:rsid w:val="00EB332C"/>
    <w:rsid w:val="00EB3384"/>
    <w:rsid w:val="00EB34EC"/>
    <w:rsid w:val="00EB361B"/>
    <w:rsid w:val="00EB3682"/>
    <w:rsid w:val="00EB3759"/>
    <w:rsid w:val="00EB3B74"/>
    <w:rsid w:val="00EB3E0C"/>
    <w:rsid w:val="00EB428A"/>
    <w:rsid w:val="00EB42A3"/>
    <w:rsid w:val="00EB43D3"/>
    <w:rsid w:val="00EB4539"/>
    <w:rsid w:val="00EB463C"/>
    <w:rsid w:val="00EB4799"/>
    <w:rsid w:val="00EB49B1"/>
    <w:rsid w:val="00EB4E70"/>
    <w:rsid w:val="00EB4F6E"/>
    <w:rsid w:val="00EB5042"/>
    <w:rsid w:val="00EB5211"/>
    <w:rsid w:val="00EB556C"/>
    <w:rsid w:val="00EB558D"/>
    <w:rsid w:val="00EB5727"/>
    <w:rsid w:val="00EB58A3"/>
    <w:rsid w:val="00EB59A0"/>
    <w:rsid w:val="00EB5C5C"/>
    <w:rsid w:val="00EB681B"/>
    <w:rsid w:val="00EB693D"/>
    <w:rsid w:val="00EB6A0A"/>
    <w:rsid w:val="00EB6B05"/>
    <w:rsid w:val="00EB6B51"/>
    <w:rsid w:val="00EB6CBA"/>
    <w:rsid w:val="00EB6F3B"/>
    <w:rsid w:val="00EB70FA"/>
    <w:rsid w:val="00EB7154"/>
    <w:rsid w:val="00EB72F4"/>
    <w:rsid w:val="00EB72F9"/>
    <w:rsid w:val="00EB739C"/>
    <w:rsid w:val="00EB742C"/>
    <w:rsid w:val="00EB74D2"/>
    <w:rsid w:val="00EB7550"/>
    <w:rsid w:val="00EB75FE"/>
    <w:rsid w:val="00EB77B3"/>
    <w:rsid w:val="00EB78E8"/>
    <w:rsid w:val="00EB7D2F"/>
    <w:rsid w:val="00EB7D47"/>
    <w:rsid w:val="00EB7EF5"/>
    <w:rsid w:val="00EC090A"/>
    <w:rsid w:val="00EC0BE1"/>
    <w:rsid w:val="00EC1170"/>
    <w:rsid w:val="00EC1840"/>
    <w:rsid w:val="00EC190C"/>
    <w:rsid w:val="00EC1AC9"/>
    <w:rsid w:val="00EC1B00"/>
    <w:rsid w:val="00EC1B0C"/>
    <w:rsid w:val="00EC1DBA"/>
    <w:rsid w:val="00EC1F43"/>
    <w:rsid w:val="00EC1F81"/>
    <w:rsid w:val="00EC215C"/>
    <w:rsid w:val="00EC225F"/>
    <w:rsid w:val="00EC2396"/>
    <w:rsid w:val="00EC2640"/>
    <w:rsid w:val="00EC26AB"/>
    <w:rsid w:val="00EC2807"/>
    <w:rsid w:val="00EC2899"/>
    <w:rsid w:val="00EC29D1"/>
    <w:rsid w:val="00EC2C18"/>
    <w:rsid w:val="00EC2C99"/>
    <w:rsid w:val="00EC2DBA"/>
    <w:rsid w:val="00EC2E55"/>
    <w:rsid w:val="00EC2F74"/>
    <w:rsid w:val="00EC342D"/>
    <w:rsid w:val="00EC3617"/>
    <w:rsid w:val="00EC379B"/>
    <w:rsid w:val="00EC37F2"/>
    <w:rsid w:val="00EC3A2C"/>
    <w:rsid w:val="00EC3B3F"/>
    <w:rsid w:val="00EC3BD7"/>
    <w:rsid w:val="00EC3BE2"/>
    <w:rsid w:val="00EC3C4B"/>
    <w:rsid w:val="00EC3E68"/>
    <w:rsid w:val="00EC41A0"/>
    <w:rsid w:val="00EC4225"/>
    <w:rsid w:val="00EC42A3"/>
    <w:rsid w:val="00EC4324"/>
    <w:rsid w:val="00EC433F"/>
    <w:rsid w:val="00EC4451"/>
    <w:rsid w:val="00EC471C"/>
    <w:rsid w:val="00EC489E"/>
    <w:rsid w:val="00EC4A28"/>
    <w:rsid w:val="00EC4B4F"/>
    <w:rsid w:val="00EC4C04"/>
    <w:rsid w:val="00EC4E5F"/>
    <w:rsid w:val="00EC4F58"/>
    <w:rsid w:val="00EC5156"/>
    <w:rsid w:val="00EC5226"/>
    <w:rsid w:val="00EC53DF"/>
    <w:rsid w:val="00EC5428"/>
    <w:rsid w:val="00EC54A7"/>
    <w:rsid w:val="00EC5750"/>
    <w:rsid w:val="00EC59EE"/>
    <w:rsid w:val="00EC5C52"/>
    <w:rsid w:val="00EC5D13"/>
    <w:rsid w:val="00EC5DF8"/>
    <w:rsid w:val="00EC6000"/>
    <w:rsid w:val="00EC6038"/>
    <w:rsid w:val="00EC612A"/>
    <w:rsid w:val="00EC6329"/>
    <w:rsid w:val="00EC6601"/>
    <w:rsid w:val="00EC66AC"/>
    <w:rsid w:val="00EC69B7"/>
    <w:rsid w:val="00EC6A3E"/>
    <w:rsid w:val="00EC6B0E"/>
    <w:rsid w:val="00EC6B97"/>
    <w:rsid w:val="00EC6E9B"/>
    <w:rsid w:val="00EC7003"/>
    <w:rsid w:val="00EC707B"/>
    <w:rsid w:val="00EC7100"/>
    <w:rsid w:val="00EC741F"/>
    <w:rsid w:val="00EC7617"/>
    <w:rsid w:val="00EC7789"/>
    <w:rsid w:val="00EC7EAD"/>
    <w:rsid w:val="00EC7F2E"/>
    <w:rsid w:val="00ED00D0"/>
    <w:rsid w:val="00ED013C"/>
    <w:rsid w:val="00ED014D"/>
    <w:rsid w:val="00ED02FC"/>
    <w:rsid w:val="00ED09D9"/>
    <w:rsid w:val="00ED0BB0"/>
    <w:rsid w:val="00ED0C28"/>
    <w:rsid w:val="00ED0FE5"/>
    <w:rsid w:val="00ED117A"/>
    <w:rsid w:val="00ED1405"/>
    <w:rsid w:val="00ED16CD"/>
    <w:rsid w:val="00ED1788"/>
    <w:rsid w:val="00ED17F8"/>
    <w:rsid w:val="00ED1812"/>
    <w:rsid w:val="00ED1958"/>
    <w:rsid w:val="00ED19B4"/>
    <w:rsid w:val="00ED19FB"/>
    <w:rsid w:val="00ED1B2A"/>
    <w:rsid w:val="00ED1EB7"/>
    <w:rsid w:val="00ED2319"/>
    <w:rsid w:val="00ED23AA"/>
    <w:rsid w:val="00ED2541"/>
    <w:rsid w:val="00ED257F"/>
    <w:rsid w:val="00ED27E8"/>
    <w:rsid w:val="00ED2E8C"/>
    <w:rsid w:val="00ED2FF4"/>
    <w:rsid w:val="00ED3252"/>
    <w:rsid w:val="00ED32B2"/>
    <w:rsid w:val="00ED3336"/>
    <w:rsid w:val="00ED3472"/>
    <w:rsid w:val="00ED35D7"/>
    <w:rsid w:val="00ED3643"/>
    <w:rsid w:val="00ED379C"/>
    <w:rsid w:val="00ED3AB4"/>
    <w:rsid w:val="00ED3D24"/>
    <w:rsid w:val="00ED3D96"/>
    <w:rsid w:val="00ED405C"/>
    <w:rsid w:val="00ED4217"/>
    <w:rsid w:val="00ED4539"/>
    <w:rsid w:val="00ED45A7"/>
    <w:rsid w:val="00ED4A12"/>
    <w:rsid w:val="00ED4C95"/>
    <w:rsid w:val="00ED4DB3"/>
    <w:rsid w:val="00ED4E93"/>
    <w:rsid w:val="00ED4FE5"/>
    <w:rsid w:val="00ED5136"/>
    <w:rsid w:val="00ED52A1"/>
    <w:rsid w:val="00ED54A3"/>
    <w:rsid w:val="00ED5526"/>
    <w:rsid w:val="00ED5939"/>
    <w:rsid w:val="00ED5994"/>
    <w:rsid w:val="00ED59A9"/>
    <w:rsid w:val="00ED5A90"/>
    <w:rsid w:val="00ED5B8F"/>
    <w:rsid w:val="00ED5C3D"/>
    <w:rsid w:val="00ED5CBD"/>
    <w:rsid w:val="00ED5FC2"/>
    <w:rsid w:val="00ED5FE4"/>
    <w:rsid w:val="00ED6011"/>
    <w:rsid w:val="00ED61C7"/>
    <w:rsid w:val="00ED61E6"/>
    <w:rsid w:val="00ED626F"/>
    <w:rsid w:val="00ED664F"/>
    <w:rsid w:val="00ED666F"/>
    <w:rsid w:val="00ED6A3F"/>
    <w:rsid w:val="00ED6A92"/>
    <w:rsid w:val="00ED6B8E"/>
    <w:rsid w:val="00ED6DB5"/>
    <w:rsid w:val="00ED6EBE"/>
    <w:rsid w:val="00ED6F4B"/>
    <w:rsid w:val="00ED6F57"/>
    <w:rsid w:val="00ED7395"/>
    <w:rsid w:val="00ED7682"/>
    <w:rsid w:val="00ED76BE"/>
    <w:rsid w:val="00ED779B"/>
    <w:rsid w:val="00ED77C5"/>
    <w:rsid w:val="00ED7DC1"/>
    <w:rsid w:val="00ED7E7F"/>
    <w:rsid w:val="00ED7EDC"/>
    <w:rsid w:val="00ED7FFE"/>
    <w:rsid w:val="00EE02A7"/>
    <w:rsid w:val="00EE0513"/>
    <w:rsid w:val="00EE0D9C"/>
    <w:rsid w:val="00EE117D"/>
    <w:rsid w:val="00EE1309"/>
    <w:rsid w:val="00EE174D"/>
    <w:rsid w:val="00EE18BA"/>
    <w:rsid w:val="00EE18BB"/>
    <w:rsid w:val="00EE1A3C"/>
    <w:rsid w:val="00EE1CAE"/>
    <w:rsid w:val="00EE1E2F"/>
    <w:rsid w:val="00EE1E8B"/>
    <w:rsid w:val="00EE1F13"/>
    <w:rsid w:val="00EE1FAB"/>
    <w:rsid w:val="00EE2017"/>
    <w:rsid w:val="00EE203D"/>
    <w:rsid w:val="00EE20E1"/>
    <w:rsid w:val="00EE20F5"/>
    <w:rsid w:val="00EE21A9"/>
    <w:rsid w:val="00EE2253"/>
    <w:rsid w:val="00EE22E9"/>
    <w:rsid w:val="00EE24A4"/>
    <w:rsid w:val="00EE258B"/>
    <w:rsid w:val="00EE266A"/>
    <w:rsid w:val="00EE26F3"/>
    <w:rsid w:val="00EE26FB"/>
    <w:rsid w:val="00EE270C"/>
    <w:rsid w:val="00EE289F"/>
    <w:rsid w:val="00EE2AEF"/>
    <w:rsid w:val="00EE2B1B"/>
    <w:rsid w:val="00EE2C2E"/>
    <w:rsid w:val="00EE2DF0"/>
    <w:rsid w:val="00EE2E55"/>
    <w:rsid w:val="00EE3084"/>
    <w:rsid w:val="00EE30A4"/>
    <w:rsid w:val="00EE31FD"/>
    <w:rsid w:val="00EE3225"/>
    <w:rsid w:val="00EE3307"/>
    <w:rsid w:val="00EE346C"/>
    <w:rsid w:val="00EE346F"/>
    <w:rsid w:val="00EE35B3"/>
    <w:rsid w:val="00EE3668"/>
    <w:rsid w:val="00EE3A59"/>
    <w:rsid w:val="00EE3A6C"/>
    <w:rsid w:val="00EE3A9A"/>
    <w:rsid w:val="00EE3CB4"/>
    <w:rsid w:val="00EE3D76"/>
    <w:rsid w:val="00EE405D"/>
    <w:rsid w:val="00EE4365"/>
    <w:rsid w:val="00EE43B7"/>
    <w:rsid w:val="00EE440B"/>
    <w:rsid w:val="00EE4774"/>
    <w:rsid w:val="00EE48DF"/>
    <w:rsid w:val="00EE4928"/>
    <w:rsid w:val="00EE4A18"/>
    <w:rsid w:val="00EE4C46"/>
    <w:rsid w:val="00EE4D75"/>
    <w:rsid w:val="00EE502E"/>
    <w:rsid w:val="00EE51D1"/>
    <w:rsid w:val="00EE51DB"/>
    <w:rsid w:val="00EE5740"/>
    <w:rsid w:val="00EE5ACD"/>
    <w:rsid w:val="00EE5BA5"/>
    <w:rsid w:val="00EE5D27"/>
    <w:rsid w:val="00EE5E3C"/>
    <w:rsid w:val="00EE5E57"/>
    <w:rsid w:val="00EE6040"/>
    <w:rsid w:val="00EE60A9"/>
    <w:rsid w:val="00EE60E8"/>
    <w:rsid w:val="00EE6255"/>
    <w:rsid w:val="00EE652E"/>
    <w:rsid w:val="00EE67A9"/>
    <w:rsid w:val="00EE6958"/>
    <w:rsid w:val="00EE69B7"/>
    <w:rsid w:val="00EE6A78"/>
    <w:rsid w:val="00EE6C48"/>
    <w:rsid w:val="00EE6F61"/>
    <w:rsid w:val="00EE7102"/>
    <w:rsid w:val="00EE7295"/>
    <w:rsid w:val="00EE7690"/>
    <w:rsid w:val="00EE7B45"/>
    <w:rsid w:val="00EE7CC0"/>
    <w:rsid w:val="00EE7DC3"/>
    <w:rsid w:val="00EF0058"/>
    <w:rsid w:val="00EF018F"/>
    <w:rsid w:val="00EF03F3"/>
    <w:rsid w:val="00EF0951"/>
    <w:rsid w:val="00EF0A1C"/>
    <w:rsid w:val="00EF0B61"/>
    <w:rsid w:val="00EF0BE7"/>
    <w:rsid w:val="00EF0CF9"/>
    <w:rsid w:val="00EF0D9E"/>
    <w:rsid w:val="00EF10A2"/>
    <w:rsid w:val="00EF12BC"/>
    <w:rsid w:val="00EF1369"/>
    <w:rsid w:val="00EF1611"/>
    <w:rsid w:val="00EF17B5"/>
    <w:rsid w:val="00EF17BC"/>
    <w:rsid w:val="00EF1AB1"/>
    <w:rsid w:val="00EF1CEF"/>
    <w:rsid w:val="00EF1EAE"/>
    <w:rsid w:val="00EF1EBB"/>
    <w:rsid w:val="00EF1F6A"/>
    <w:rsid w:val="00EF21B4"/>
    <w:rsid w:val="00EF240D"/>
    <w:rsid w:val="00EF249F"/>
    <w:rsid w:val="00EF2670"/>
    <w:rsid w:val="00EF26D7"/>
    <w:rsid w:val="00EF2797"/>
    <w:rsid w:val="00EF2981"/>
    <w:rsid w:val="00EF2A05"/>
    <w:rsid w:val="00EF2A35"/>
    <w:rsid w:val="00EF2B31"/>
    <w:rsid w:val="00EF2E1A"/>
    <w:rsid w:val="00EF2E7B"/>
    <w:rsid w:val="00EF2E98"/>
    <w:rsid w:val="00EF3062"/>
    <w:rsid w:val="00EF3114"/>
    <w:rsid w:val="00EF3407"/>
    <w:rsid w:val="00EF3629"/>
    <w:rsid w:val="00EF38AE"/>
    <w:rsid w:val="00EF39E8"/>
    <w:rsid w:val="00EF3B48"/>
    <w:rsid w:val="00EF3C67"/>
    <w:rsid w:val="00EF3CEF"/>
    <w:rsid w:val="00EF432D"/>
    <w:rsid w:val="00EF445E"/>
    <w:rsid w:val="00EF47CB"/>
    <w:rsid w:val="00EF488C"/>
    <w:rsid w:val="00EF48CC"/>
    <w:rsid w:val="00EF4946"/>
    <w:rsid w:val="00EF49F8"/>
    <w:rsid w:val="00EF4A56"/>
    <w:rsid w:val="00EF4F87"/>
    <w:rsid w:val="00EF4F94"/>
    <w:rsid w:val="00EF541A"/>
    <w:rsid w:val="00EF56C8"/>
    <w:rsid w:val="00EF5700"/>
    <w:rsid w:val="00EF597D"/>
    <w:rsid w:val="00EF5B32"/>
    <w:rsid w:val="00EF5B3A"/>
    <w:rsid w:val="00EF5B6D"/>
    <w:rsid w:val="00EF62F0"/>
    <w:rsid w:val="00EF672F"/>
    <w:rsid w:val="00EF6FD4"/>
    <w:rsid w:val="00EF71A1"/>
    <w:rsid w:val="00EF7327"/>
    <w:rsid w:val="00EF73D2"/>
    <w:rsid w:val="00EF77B1"/>
    <w:rsid w:val="00EF77FB"/>
    <w:rsid w:val="00EF78B6"/>
    <w:rsid w:val="00EF7940"/>
    <w:rsid w:val="00EF79A4"/>
    <w:rsid w:val="00EF7D22"/>
    <w:rsid w:val="00EF7D36"/>
    <w:rsid w:val="00EF7E32"/>
    <w:rsid w:val="00EF7FAB"/>
    <w:rsid w:val="00EF7FD2"/>
    <w:rsid w:val="00F00015"/>
    <w:rsid w:val="00F000A2"/>
    <w:rsid w:val="00F000D8"/>
    <w:rsid w:val="00F00374"/>
    <w:rsid w:val="00F00386"/>
    <w:rsid w:val="00F0090A"/>
    <w:rsid w:val="00F00FB2"/>
    <w:rsid w:val="00F00FF3"/>
    <w:rsid w:val="00F0102B"/>
    <w:rsid w:val="00F01099"/>
    <w:rsid w:val="00F010F1"/>
    <w:rsid w:val="00F01221"/>
    <w:rsid w:val="00F01307"/>
    <w:rsid w:val="00F0133B"/>
    <w:rsid w:val="00F01549"/>
    <w:rsid w:val="00F01A79"/>
    <w:rsid w:val="00F01C15"/>
    <w:rsid w:val="00F01C19"/>
    <w:rsid w:val="00F01D93"/>
    <w:rsid w:val="00F02003"/>
    <w:rsid w:val="00F02473"/>
    <w:rsid w:val="00F024FA"/>
    <w:rsid w:val="00F0250F"/>
    <w:rsid w:val="00F02601"/>
    <w:rsid w:val="00F026C5"/>
    <w:rsid w:val="00F0295E"/>
    <w:rsid w:val="00F029E0"/>
    <w:rsid w:val="00F02C98"/>
    <w:rsid w:val="00F02F05"/>
    <w:rsid w:val="00F03177"/>
    <w:rsid w:val="00F03199"/>
    <w:rsid w:val="00F031ED"/>
    <w:rsid w:val="00F03229"/>
    <w:rsid w:val="00F033DC"/>
    <w:rsid w:val="00F037E6"/>
    <w:rsid w:val="00F03AF9"/>
    <w:rsid w:val="00F03BDA"/>
    <w:rsid w:val="00F04037"/>
    <w:rsid w:val="00F0429F"/>
    <w:rsid w:val="00F0463B"/>
    <w:rsid w:val="00F04955"/>
    <w:rsid w:val="00F04C53"/>
    <w:rsid w:val="00F04C93"/>
    <w:rsid w:val="00F04E09"/>
    <w:rsid w:val="00F051A5"/>
    <w:rsid w:val="00F054DA"/>
    <w:rsid w:val="00F05743"/>
    <w:rsid w:val="00F05961"/>
    <w:rsid w:val="00F05B2C"/>
    <w:rsid w:val="00F05C2A"/>
    <w:rsid w:val="00F05F1B"/>
    <w:rsid w:val="00F0627A"/>
    <w:rsid w:val="00F06328"/>
    <w:rsid w:val="00F064E9"/>
    <w:rsid w:val="00F06536"/>
    <w:rsid w:val="00F06C40"/>
    <w:rsid w:val="00F06EBF"/>
    <w:rsid w:val="00F0700B"/>
    <w:rsid w:val="00F070E5"/>
    <w:rsid w:val="00F07120"/>
    <w:rsid w:val="00F07168"/>
    <w:rsid w:val="00F077E4"/>
    <w:rsid w:val="00F079F4"/>
    <w:rsid w:val="00F07ACD"/>
    <w:rsid w:val="00F07B22"/>
    <w:rsid w:val="00F07B49"/>
    <w:rsid w:val="00F07C99"/>
    <w:rsid w:val="00F07CF3"/>
    <w:rsid w:val="00F07DA7"/>
    <w:rsid w:val="00F07E24"/>
    <w:rsid w:val="00F07ED6"/>
    <w:rsid w:val="00F101DD"/>
    <w:rsid w:val="00F1037A"/>
    <w:rsid w:val="00F103BC"/>
    <w:rsid w:val="00F106BE"/>
    <w:rsid w:val="00F10788"/>
    <w:rsid w:val="00F10824"/>
    <w:rsid w:val="00F1084B"/>
    <w:rsid w:val="00F10948"/>
    <w:rsid w:val="00F10D5A"/>
    <w:rsid w:val="00F10E10"/>
    <w:rsid w:val="00F10FF3"/>
    <w:rsid w:val="00F118DB"/>
    <w:rsid w:val="00F11E04"/>
    <w:rsid w:val="00F11F86"/>
    <w:rsid w:val="00F1286C"/>
    <w:rsid w:val="00F12A59"/>
    <w:rsid w:val="00F12B31"/>
    <w:rsid w:val="00F12BFA"/>
    <w:rsid w:val="00F12D77"/>
    <w:rsid w:val="00F1301F"/>
    <w:rsid w:val="00F13696"/>
    <w:rsid w:val="00F136AE"/>
    <w:rsid w:val="00F1385C"/>
    <w:rsid w:val="00F13984"/>
    <w:rsid w:val="00F139B7"/>
    <w:rsid w:val="00F13C28"/>
    <w:rsid w:val="00F13DDF"/>
    <w:rsid w:val="00F13F6B"/>
    <w:rsid w:val="00F1412C"/>
    <w:rsid w:val="00F141A8"/>
    <w:rsid w:val="00F143B7"/>
    <w:rsid w:val="00F1440C"/>
    <w:rsid w:val="00F14638"/>
    <w:rsid w:val="00F14651"/>
    <w:rsid w:val="00F1497A"/>
    <w:rsid w:val="00F149C1"/>
    <w:rsid w:val="00F14B74"/>
    <w:rsid w:val="00F14D25"/>
    <w:rsid w:val="00F14DBC"/>
    <w:rsid w:val="00F1510D"/>
    <w:rsid w:val="00F152C3"/>
    <w:rsid w:val="00F15502"/>
    <w:rsid w:val="00F1566B"/>
    <w:rsid w:val="00F156C0"/>
    <w:rsid w:val="00F156EB"/>
    <w:rsid w:val="00F1574D"/>
    <w:rsid w:val="00F158A3"/>
    <w:rsid w:val="00F158A9"/>
    <w:rsid w:val="00F159D1"/>
    <w:rsid w:val="00F15C31"/>
    <w:rsid w:val="00F15CDC"/>
    <w:rsid w:val="00F15E3D"/>
    <w:rsid w:val="00F15E64"/>
    <w:rsid w:val="00F15F99"/>
    <w:rsid w:val="00F16090"/>
    <w:rsid w:val="00F16548"/>
    <w:rsid w:val="00F169AB"/>
    <w:rsid w:val="00F16A71"/>
    <w:rsid w:val="00F16BD1"/>
    <w:rsid w:val="00F16E06"/>
    <w:rsid w:val="00F173C7"/>
    <w:rsid w:val="00F17596"/>
    <w:rsid w:val="00F175B8"/>
    <w:rsid w:val="00F175DB"/>
    <w:rsid w:val="00F176E6"/>
    <w:rsid w:val="00F177F6"/>
    <w:rsid w:val="00F17E6F"/>
    <w:rsid w:val="00F17EC8"/>
    <w:rsid w:val="00F17F9B"/>
    <w:rsid w:val="00F200F1"/>
    <w:rsid w:val="00F2010A"/>
    <w:rsid w:val="00F2056B"/>
    <w:rsid w:val="00F209F9"/>
    <w:rsid w:val="00F20B0B"/>
    <w:rsid w:val="00F20E8A"/>
    <w:rsid w:val="00F21285"/>
    <w:rsid w:val="00F2158E"/>
    <w:rsid w:val="00F21675"/>
    <w:rsid w:val="00F21694"/>
    <w:rsid w:val="00F217FC"/>
    <w:rsid w:val="00F21A81"/>
    <w:rsid w:val="00F21B1A"/>
    <w:rsid w:val="00F21BED"/>
    <w:rsid w:val="00F21CD0"/>
    <w:rsid w:val="00F21D26"/>
    <w:rsid w:val="00F22120"/>
    <w:rsid w:val="00F2218E"/>
    <w:rsid w:val="00F223E2"/>
    <w:rsid w:val="00F224CC"/>
    <w:rsid w:val="00F225CA"/>
    <w:rsid w:val="00F22B6A"/>
    <w:rsid w:val="00F22E6F"/>
    <w:rsid w:val="00F22FAB"/>
    <w:rsid w:val="00F2300D"/>
    <w:rsid w:val="00F2302A"/>
    <w:rsid w:val="00F2341A"/>
    <w:rsid w:val="00F238FD"/>
    <w:rsid w:val="00F2398D"/>
    <w:rsid w:val="00F23AE2"/>
    <w:rsid w:val="00F23BBD"/>
    <w:rsid w:val="00F23C29"/>
    <w:rsid w:val="00F243DD"/>
    <w:rsid w:val="00F24424"/>
    <w:rsid w:val="00F2461D"/>
    <w:rsid w:val="00F246D9"/>
    <w:rsid w:val="00F249B2"/>
    <w:rsid w:val="00F24C91"/>
    <w:rsid w:val="00F24D44"/>
    <w:rsid w:val="00F24E85"/>
    <w:rsid w:val="00F24EB0"/>
    <w:rsid w:val="00F25335"/>
    <w:rsid w:val="00F256A4"/>
    <w:rsid w:val="00F256E7"/>
    <w:rsid w:val="00F258A3"/>
    <w:rsid w:val="00F25AB5"/>
    <w:rsid w:val="00F25CBA"/>
    <w:rsid w:val="00F25CC7"/>
    <w:rsid w:val="00F25E83"/>
    <w:rsid w:val="00F25F2C"/>
    <w:rsid w:val="00F264B9"/>
    <w:rsid w:val="00F26626"/>
    <w:rsid w:val="00F267B8"/>
    <w:rsid w:val="00F26A10"/>
    <w:rsid w:val="00F26B1E"/>
    <w:rsid w:val="00F26B9D"/>
    <w:rsid w:val="00F2728D"/>
    <w:rsid w:val="00F272BE"/>
    <w:rsid w:val="00F27452"/>
    <w:rsid w:val="00F275C1"/>
    <w:rsid w:val="00F277CA"/>
    <w:rsid w:val="00F27864"/>
    <w:rsid w:val="00F278FD"/>
    <w:rsid w:val="00F27937"/>
    <w:rsid w:val="00F27C4D"/>
    <w:rsid w:val="00F3000B"/>
    <w:rsid w:val="00F3027F"/>
    <w:rsid w:val="00F30383"/>
    <w:rsid w:val="00F306CC"/>
    <w:rsid w:val="00F30AB3"/>
    <w:rsid w:val="00F30F75"/>
    <w:rsid w:val="00F313F1"/>
    <w:rsid w:val="00F31766"/>
    <w:rsid w:val="00F317E4"/>
    <w:rsid w:val="00F319DF"/>
    <w:rsid w:val="00F31A9B"/>
    <w:rsid w:val="00F31BF7"/>
    <w:rsid w:val="00F31C24"/>
    <w:rsid w:val="00F31E66"/>
    <w:rsid w:val="00F32122"/>
    <w:rsid w:val="00F328B4"/>
    <w:rsid w:val="00F329B2"/>
    <w:rsid w:val="00F32B10"/>
    <w:rsid w:val="00F330B1"/>
    <w:rsid w:val="00F331ED"/>
    <w:rsid w:val="00F332AD"/>
    <w:rsid w:val="00F333E0"/>
    <w:rsid w:val="00F3341C"/>
    <w:rsid w:val="00F33511"/>
    <w:rsid w:val="00F338D2"/>
    <w:rsid w:val="00F338E0"/>
    <w:rsid w:val="00F339EB"/>
    <w:rsid w:val="00F33C45"/>
    <w:rsid w:val="00F33DA0"/>
    <w:rsid w:val="00F33F84"/>
    <w:rsid w:val="00F34129"/>
    <w:rsid w:val="00F34156"/>
    <w:rsid w:val="00F34584"/>
    <w:rsid w:val="00F34612"/>
    <w:rsid w:val="00F34618"/>
    <w:rsid w:val="00F34AA6"/>
    <w:rsid w:val="00F34BC7"/>
    <w:rsid w:val="00F34BD3"/>
    <w:rsid w:val="00F34FAE"/>
    <w:rsid w:val="00F350F3"/>
    <w:rsid w:val="00F3510D"/>
    <w:rsid w:val="00F351AC"/>
    <w:rsid w:val="00F353EC"/>
    <w:rsid w:val="00F3543F"/>
    <w:rsid w:val="00F3567A"/>
    <w:rsid w:val="00F3567B"/>
    <w:rsid w:val="00F35729"/>
    <w:rsid w:val="00F359EA"/>
    <w:rsid w:val="00F3611B"/>
    <w:rsid w:val="00F3616E"/>
    <w:rsid w:val="00F3626B"/>
    <w:rsid w:val="00F364C1"/>
    <w:rsid w:val="00F3661F"/>
    <w:rsid w:val="00F366E9"/>
    <w:rsid w:val="00F368AC"/>
    <w:rsid w:val="00F36AEB"/>
    <w:rsid w:val="00F36B9F"/>
    <w:rsid w:val="00F36C69"/>
    <w:rsid w:val="00F3710E"/>
    <w:rsid w:val="00F3712E"/>
    <w:rsid w:val="00F37210"/>
    <w:rsid w:val="00F37457"/>
    <w:rsid w:val="00F37BE6"/>
    <w:rsid w:val="00F37D9F"/>
    <w:rsid w:val="00F37FDE"/>
    <w:rsid w:val="00F4067D"/>
    <w:rsid w:val="00F4077E"/>
    <w:rsid w:val="00F40A18"/>
    <w:rsid w:val="00F40DCB"/>
    <w:rsid w:val="00F40EF3"/>
    <w:rsid w:val="00F414E5"/>
    <w:rsid w:val="00F419D5"/>
    <w:rsid w:val="00F41CF2"/>
    <w:rsid w:val="00F41DA7"/>
    <w:rsid w:val="00F41F7C"/>
    <w:rsid w:val="00F41FB8"/>
    <w:rsid w:val="00F42144"/>
    <w:rsid w:val="00F422FC"/>
    <w:rsid w:val="00F42440"/>
    <w:rsid w:val="00F4247A"/>
    <w:rsid w:val="00F427FC"/>
    <w:rsid w:val="00F42BDB"/>
    <w:rsid w:val="00F42C0C"/>
    <w:rsid w:val="00F42D46"/>
    <w:rsid w:val="00F42E6A"/>
    <w:rsid w:val="00F42EC4"/>
    <w:rsid w:val="00F42FE6"/>
    <w:rsid w:val="00F43116"/>
    <w:rsid w:val="00F43467"/>
    <w:rsid w:val="00F436C4"/>
    <w:rsid w:val="00F4394E"/>
    <w:rsid w:val="00F439ED"/>
    <w:rsid w:val="00F43A50"/>
    <w:rsid w:val="00F43CC9"/>
    <w:rsid w:val="00F43DD2"/>
    <w:rsid w:val="00F44100"/>
    <w:rsid w:val="00F44162"/>
    <w:rsid w:val="00F443C1"/>
    <w:rsid w:val="00F443DE"/>
    <w:rsid w:val="00F444A4"/>
    <w:rsid w:val="00F4476B"/>
    <w:rsid w:val="00F447B0"/>
    <w:rsid w:val="00F447D3"/>
    <w:rsid w:val="00F448EB"/>
    <w:rsid w:val="00F44B82"/>
    <w:rsid w:val="00F44D50"/>
    <w:rsid w:val="00F44E48"/>
    <w:rsid w:val="00F450D8"/>
    <w:rsid w:val="00F45167"/>
    <w:rsid w:val="00F4527A"/>
    <w:rsid w:val="00F452BC"/>
    <w:rsid w:val="00F4597D"/>
    <w:rsid w:val="00F45BD3"/>
    <w:rsid w:val="00F45C46"/>
    <w:rsid w:val="00F45FBF"/>
    <w:rsid w:val="00F4638E"/>
    <w:rsid w:val="00F46699"/>
    <w:rsid w:val="00F46764"/>
    <w:rsid w:val="00F46AEA"/>
    <w:rsid w:val="00F46B16"/>
    <w:rsid w:val="00F46B98"/>
    <w:rsid w:val="00F46D13"/>
    <w:rsid w:val="00F4707C"/>
    <w:rsid w:val="00F478FC"/>
    <w:rsid w:val="00F479F7"/>
    <w:rsid w:val="00F47AFB"/>
    <w:rsid w:val="00F47C5B"/>
    <w:rsid w:val="00F50105"/>
    <w:rsid w:val="00F504A5"/>
    <w:rsid w:val="00F504C3"/>
    <w:rsid w:val="00F50522"/>
    <w:rsid w:val="00F507B8"/>
    <w:rsid w:val="00F50D57"/>
    <w:rsid w:val="00F50EC3"/>
    <w:rsid w:val="00F510E3"/>
    <w:rsid w:val="00F510F4"/>
    <w:rsid w:val="00F511E8"/>
    <w:rsid w:val="00F516FE"/>
    <w:rsid w:val="00F51821"/>
    <w:rsid w:val="00F518E9"/>
    <w:rsid w:val="00F519D9"/>
    <w:rsid w:val="00F51C16"/>
    <w:rsid w:val="00F51C6D"/>
    <w:rsid w:val="00F51EC7"/>
    <w:rsid w:val="00F522F5"/>
    <w:rsid w:val="00F523F5"/>
    <w:rsid w:val="00F52436"/>
    <w:rsid w:val="00F524AD"/>
    <w:rsid w:val="00F524F2"/>
    <w:rsid w:val="00F5253E"/>
    <w:rsid w:val="00F52740"/>
    <w:rsid w:val="00F529C2"/>
    <w:rsid w:val="00F52A99"/>
    <w:rsid w:val="00F52D12"/>
    <w:rsid w:val="00F52DF1"/>
    <w:rsid w:val="00F52E3F"/>
    <w:rsid w:val="00F52F50"/>
    <w:rsid w:val="00F5337F"/>
    <w:rsid w:val="00F534C6"/>
    <w:rsid w:val="00F536EC"/>
    <w:rsid w:val="00F5381B"/>
    <w:rsid w:val="00F538BE"/>
    <w:rsid w:val="00F53D93"/>
    <w:rsid w:val="00F53DB8"/>
    <w:rsid w:val="00F5419A"/>
    <w:rsid w:val="00F543DE"/>
    <w:rsid w:val="00F545A3"/>
    <w:rsid w:val="00F5477D"/>
    <w:rsid w:val="00F54988"/>
    <w:rsid w:val="00F54992"/>
    <w:rsid w:val="00F54ABA"/>
    <w:rsid w:val="00F54ADB"/>
    <w:rsid w:val="00F54B3C"/>
    <w:rsid w:val="00F54D3A"/>
    <w:rsid w:val="00F54E36"/>
    <w:rsid w:val="00F54E49"/>
    <w:rsid w:val="00F54F74"/>
    <w:rsid w:val="00F55448"/>
    <w:rsid w:val="00F55498"/>
    <w:rsid w:val="00F555E4"/>
    <w:rsid w:val="00F55602"/>
    <w:rsid w:val="00F55606"/>
    <w:rsid w:val="00F55A55"/>
    <w:rsid w:val="00F560D9"/>
    <w:rsid w:val="00F56203"/>
    <w:rsid w:val="00F562A8"/>
    <w:rsid w:val="00F56597"/>
    <w:rsid w:val="00F56992"/>
    <w:rsid w:val="00F56AA5"/>
    <w:rsid w:val="00F56ABB"/>
    <w:rsid w:val="00F56C21"/>
    <w:rsid w:val="00F57219"/>
    <w:rsid w:val="00F57270"/>
    <w:rsid w:val="00F57570"/>
    <w:rsid w:val="00F57B62"/>
    <w:rsid w:val="00F57D53"/>
    <w:rsid w:val="00F57D5E"/>
    <w:rsid w:val="00F57E09"/>
    <w:rsid w:val="00F57EDF"/>
    <w:rsid w:val="00F57EE2"/>
    <w:rsid w:val="00F60009"/>
    <w:rsid w:val="00F60226"/>
    <w:rsid w:val="00F60242"/>
    <w:rsid w:val="00F60279"/>
    <w:rsid w:val="00F60328"/>
    <w:rsid w:val="00F60371"/>
    <w:rsid w:val="00F60378"/>
    <w:rsid w:val="00F60531"/>
    <w:rsid w:val="00F6059B"/>
    <w:rsid w:val="00F606C0"/>
    <w:rsid w:val="00F60874"/>
    <w:rsid w:val="00F609E2"/>
    <w:rsid w:val="00F60A02"/>
    <w:rsid w:val="00F60A52"/>
    <w:rsid w:val="00F60BEA"/>
    <w:rsid w:val="00F60BFF"/>
    <w:rsid w:val="00F60CBA"/>
    <w:rsid w:val="00F60E5E"/>
    <w:rsid w:val="00F60F42"/>
    <w:rsid w:val="00F60FB0"/>
    <w:rsid w:val="00F60FBC"/>
    <w:rsid w:val="00F610D1"/>
    <w:rsid w:val="00F611A3"/>
    <w:rsid w:val="00F611F8"/>
    <w:rsid w:val="00F61411"/>
    <w:rsid w:val="00F61BBA"/>
    <w:rsid w:val="00F61DC5"/>
    <w:rsid w:val="00F61FA1"/>
    <w:rsid w:val="00F62068"/>
    <w:rsid w:val="00F62158"/>
    <w:rsid w:val="00F6222D"/>
    <w:rsid w:val="00F6231C"/>
    <w:rsid w:val="00F62522"/>
    <w:rsid w:val="00F625CA"/>
    <w:rsid w:val="00F62712"/>
    <w:rsid w:val="00F627B7"/>
    <w:rsid w:val="00F62829"/>
    <w:rsid w:val="00F62BD0"/>
    <w:rsid w:val="00F62C43"/>
    <w:rsid w:val="00F630FF"/>
    <w:rsid w:val="00F63144"/>
    <w:rsid w:val="00F63444"/>
    <w:rsid w:val="00F634B5"/>
    <w:rsid w:val="00F6380B"/>
    <w:rsid w:val="00F639FF"/>
    <w:rsid w:val="00F63C53"/>
    <w:rsid w:val="00F63DAE"/>
    <w:rsid w:val="00F63F4D"/>
    <w:rsid w:val="00F643C8"/>
    <w:rsid w:val="00F64468"/>
    <w:rsid w:val="00F64475"/>
    <w:rsid w:val="00F6454B"/>
    <w:rsid w:val="00F646D2"/>
    <w:rsid w:val="00F64BCB"/>
    <w:rsid w:val="00F64D2E"/>
    <w:rsid w:val="00F64F3A"/>
    <w:rsid w:val="00F64F66"/>
    <w:rsid w:val="00F64F7B"/>
    <w:rsid w:val="00F65378"/>
    <w:rsid w:val="00F653DD"/>
    <w:rsid w:val="00F65648"/>
    <w:rsid w:val="00F65686"/>
    <w:rsid w:val="00F6577B"/>
    <w:rsid w:val="00F657E5"/>
    <w:rsid w:val="00F65CBD"/>
    <w:rsid w:val="00F65F9A"/>
    <w:rsid w:val="00F65FF3"/>
    <w:rsid w:val="00F66064"/>
    <w:rsid w:val="00F662EA"/>
    <w:rsid w:val="00F6654F"/>
    <w:rsid w:val="00F66566"/>
    <w:rsid w:val="00F668C0"/>
    <w:rsid w:val="00F66B3F"/>
    <w:rsid w:val="00F66C36"/>
    <w:rsid w:val="00F66EFF"/>
    <w:rsid w:val="00F66F28"/>
    <w:rsid w:val="00F66F48"/>
    <w:rsid w:val="00F67023"/>
    <w:rsid w:val="00F6704B"/>
    <w:rsid w:val="00F67066"/>
    <w:rsid w:val="00F670AD"/>
    <w:rsid w:val="00F67323"/>
    <w:rsid w:val="00F6780A"/>
    <w:rsid w:val="00F67884"/>
    <w:rsid w:val="00F67932"/>
    <w:rsid w:val="00F67E73"/>
    <w:rsid w:val="00F67EF5"/>
    <w:rsid w:val="00F7049B"/>
    <w:rsid w:val="00F706F6"/>
    <w:rsid w:val="00F70B99"/>
    <w:rsid w:val="00F70BFE"/>
    <w:rsid w:val="00F70DA8"/>
    <w:rsid w:val="00F70F19"/>
    <w:rsid w:val="00F71563"/>
    <w:rsid w:val="00F71613"/>
    <w:rsid w:val="00F716F8"/>
    <w:rsid w:val="00F718B4"/>
    <w:rsid w:val="00F71982"/>
    <w:rsid w:val="00F71F2A"/>
    <w:rsid w:val="00F720FD"/>
    <w:rsid w:val="00F72225"/>
    <w:rsid w:val="00F72437"/>
    <w:rsid w:val="00F725EF"/>
    <w:rsid w:val="00F7278D"/>
    <w:rsid w:val="00F72904"/>
    <w:rsid w:val="00F72937"/>
    <w:rsid w:val="00F7297A"/>
    <w:rsid w:val="00F729C0"/>
    <w:rsid w:val="00F72A23"/>
    <w:rsid w:val="00F72C02"/>
    <w:rsid w:val="00F72D05"/>
    <w:rsid w:val="00F72EED"/>
    <w:rsid w:val="00F731AB"/>
    <w:rsid w:val="00F732A3"/>
    <w:rsid w:val="00F73346"/>
    <w:rsid w:val="00F73509"/>
    <w:rsid w:val="00F73C67"/>
    <w:rsid w:val="00F73DAE"/>
    <w:rsid w:val="00F73E17"/>
    <w:rsid w:val="00F73E5A"/>
    <w:rsid w:val="00F740FC"/>
    <w:rsid w:val="00F741C4"/>
    <w:rsid w:val="00F742EE"/>
    <w:rsid w:val="00F7437B"/>
    <w:rsid w:val="00F74388"/>
    <w:rsid w:val="00F74501"/>
    <w:rsid w:val="00F746DF"/>
    <w:rsid w:val="00F7481F"/>
    <w:rsid w:val="00F7482D"/>
    <w:rsid w:val="00F74B2E"/>
    <w:rsid w:val="00F74C14"/>
    <w:rsid w:val="00F74E16"/>
    <w:rsid w:val="00F74EC9"/>
    <w:rsid w:val="00F74F70"/>
    <w:rsid w:val="00F7532A"/>
    <w:rsid w:val="00F7537C"/>
    <w:rsid w:val="00F753A6"/>
    <w:rsid w:val="00F753C5"/>
    <w:rsid w:val="00F755BB"/>
    <w:rsid w:val="00F7566A"/>
    <w:rsid w:val="00F7585F"/>
    <w:rsid w:val="00F75BC0"/>
    <w:rsid w:val="00F75F7B"/>
    <w:rsid w:val="00F76092"/>
    <w:rsid w:val="00F761F6"/>
    <w:rsid w:val="00F7694A"/>
    <w:rsid w:val="00F7696B"/>
    <w:rsid w:val="00F76A55"/>
    <w:rsid w:val="00F76EF9"/>
    <w:rsid w:val="00F771EB"/>
    <w:rsid w:val="00F772DF"/>
    <w:rsid w:val="00F77600"/>
    <w:rsid w:val="00F776EF"/>
    <w:rsid w:val="00F77765"/>
    <w:rsid w:val="00F778F1"/>
    <w:rsid w:val="00F77A8E"/>
    <w:rsid w:val="00F77FBA"/>
    <w:rsid w:val="00F80453"/>
    <w:rsid w:val="00F80510"/>
    <w:rsid w:val="00F8051C"/>
    <w:rsid w:val="00F8056E"/>
    <w:rsid w:val="00F8057D"/>
    <w:rsid w:val="00F80616"/>
    <w:rsid w:val="00F806C4"/>
    <w:rsid w:val="00F80C5B"/>
    <w:rsid w:val="00F80DDE"/>
    <w:rsid w:val="00F80E44"/>
    <w:rsid w:val="00F80EB3"/>
    <w:rsid w:val="00F810AF"/>
    <w:rsid w:val="00F8110E"/>
    <w:rsid w:val="00F814BE"/>
    <w:rsid w:val="00F81650"/>
    <w:rsid w:val="00F816D6"/>
    <w:rsid w:val="00F8178A"/>
    <w:rsid w:val="00F81E86"/>
    <w:rsid w:val="00F81E92"/>
    <w:rsid w:val="00F81EB7"/>
    <w:rsid w:val="00F82445"/>
    <w:rsid w:val="00F82483"/>
    <w:rsid w:val="00F824AC"/>
    <w:rsid w:val="00F827E4"/>
    <w:rsid w:val="00F82989"/>
    <w:rsid w:val="00F829D5"/>
    <w:rsid w:val="00F829F2"/>
    <w:rsid w:val="00F82BA0"/>
    <w:rsid w:val="00F82D8B"/>
    <w:rsid w:val="00F82ECA"/>
    <w:rsid w:val="00F82FBC"/>
    <w:rsid w:val="00F8313B"/>
    <w:rsid w:val="00F831C8"/>
    <w:rsid w:val="00F838A8"/>
    <w:rsid w:val="00F83909"/>
    <w:rsid w:val="00F83ADB"/>
    <w:rsid w:val="00F83C7E"/>
    <w:rsid w:val="00F83F6C"/>
    <w:rsid w:val="00F83FE9"/>
    <w:rsid w:val="00F841C9"/>
    <w:rsid w:val="00F84690"/>
    <w:rsid w:val="00F84720"/>
    <w:rsid w:val="00F8473C"/>
    <w:rsid w:val="00F84977"/>
    <w:rsid w:val="00F8497A"/>
    <w:rsid w:val="00F84AAC"/>
    <w:rsid w:val="00F84C6D"/>
    <w:rsid w:val="00F84C8A"/>
    <w:rsid w:val="00F84CF1"/>
    <w:rsid w:val="00F84D01"/>
    <w:rsid w:val="00F84D28"/>
    <w:rsid w:val="00F8503E"/>
    <w:rsid w:val="00F852E1"/>
    <w:rsid w:val="00F85739"/>
    <w:rsid w:val="00F85A47"/>
    <w:rsid w:val="00F85B88"/>
    <w:rsid w:val="00F85C88"/>
    <w:rsid w:val="00F86620"/>
    <w:rsid w:val="00F866EE"/>
    <w:rsid w:val="00F86802"/>
    <w:rsid w:val="00F86C46"/>
    <w:rsid w:val="00F86C62"/>
    <w:rsid w:val="00F86DF7"/>
    <w:rsid w:val="00F8716E"/>
    <w:rsid w:val="00F873CC"/>
    <w:rsid w:val="00F873D6"/>
    <w:rsid w:val="00F87489"/>
    <w:rsid w:val="00F8766D"/>
    <w:rsid w:val="00F876CD"/>
    <w:rsid w:val="00F8771C"/>
    <w:rsid w:val="00F87887"/>
    <w:rsid w:val="00F87957"/>
    <w:rsid w:val="00F8795D"/>
    <w:rsid w:val="00F87B4F"/>
    <w:rsid w:val="00F87BD5"/>
    <w:rsid w:val="00F87C4C"/>
    <w:rsid w:val="00F87D06"/>
    <w:rsid w:val="00F9020A"/>
    <w:rsid w:val="00F90357"/>
    <w:rsid w:val="00F906A7"/>
    <w:rsid w:val="00F90ADE"/>
    <w:rsid w:val="00F90B80"/>
    <w:rsid w:val="00F90E13"/>
    <w:rsid w:val="00F90E67"/>
    <w:rsid w:val="00F91085"/>
    <w:rsid w:val="00F91209"/>
    <w:rsid w:val="00F91236"/>
    <w:rsid w:val="00F912E2"/>
    <w:rsid w:val="00F91419"/>
    <w:rsid w:val="00F9156E"/>
    <w:rsid w:val="00F9163F"/>
    <w:rsid w:val="00F9173B"/>
    <w:rsid w:val="00F91A23"/>
    <w:rsid w:val="00F91A3D"/>
    <w:rsid w:val="00F91ABC"/>
    <w:rsid w:val="00F91B49"/>
    <w:rsid w:val="00F91C35"/>
    <w:rsid w:val="00F91D47"/>
    <w:rsid w:val="00F91DEC"/>
    <w:rsid w:val="00F9248A"/>
    <w:rsid w:val="00F925B8"/>
    <w:rsid w:val="00F9293F"/>
    <w:rsid w:val="00F92BD9"/>
    <w:rsid w:val="00F92CF4"/>
    <w:rsid w:val="00F92E73"/>
    <w:rsid w:val="00F92F6C"/>
    <w:rsid w:val="00F930A9"/>
    <w:rsid w:val="00F9313D"/>
    <w:rsid w:val="00F934A5"/>
    <w:rsid w:val="00F93599"/>
    <w:rsid w:val="00F93648"/>
    <w:rsid w:val="00F937FA"/>
    <w:rsid w:val="00F9398A"/>
    <w:rsid w:val="00F93DA6"/>
    <w:rsid w:val="00F93DEE"/>
    <w:rsid w:val="00F93F57"/>
    <w:rsid w:val="00F9439A"/>
    <w:rsid w:val="00F943E9"/>
    <w:rsid w:val="00F94621"/>
    <w:rsid w:val="00F94800"/>
    <w:rsid w:val="00F9480D"/>
    <w:rsid w:val="00F94872"/>
    <w:rsid w:val="00F94AB3"/>
    <w:rsid w:val="00F94BA1"/>
    <w:rsid w:val="00F94BC3"/>
    <w:rsid w:val="00F94D7D"/>
    <w:rsid w:val="00F94FC1"/>
    <w:rsid w:val="00F952ED"/>
    <w:rsid w:val="00F95316"/>
    <w:rsid w:val="00F95D36"/>
    <w:rsid w:val="00F962F6"/>
    <w:rsid w:val="00F96377"/>
    <w:rsid w:val="00F9639D"/>
    <w:rsid w:val="00F967F9"/>
    <w:rsid w:val="00F96B3A"/>
    <w:rsid w:val="00F96F7A"/>
    <w:rsid w:val="00F96FBD"/>
    <w:rsid w:val="00F970CC"/>
    <w:rsid w:val="00F971C6"/>
    <w:rsid w:val="00F97673"/>
    <w:rsid w:val="00F976AE"/>
    <w:rsid w:val="00F976D9"/>
    <w:rsid w:val="00F977F8"/>
    <w:rsid w:val="00F97A47"/>
    <w:rsid w:val="00F97A85"/>
    <w:rsid w:val="00F97C5D"/>
    <w:rsid w:val="00F97D92"/>
    <w:rsid w:val="00F97DBC"/>
    <w:rsid w:val="00F97FA7"/>
    <w:rsid w:val="00FA0060"/>
    <w:rsid w:val="00FA0280"/>
    <w:rsid w:val="00FA036D"/>
    <w:rsid w:val="00FA054E"/>
    <w:rsid w:val="00FA092E"/>
    <w:rsid w:val="00FA095C"/>
    <w:rsid w:val="00FA0A42"/>
    <w:rsid w:val="00FA0A80"/>
    <w:rsid w:val="00FA0C47"/>
    <w:rsid w:val="00FA0D15"/>
    <w:rsid w:val="00FA11F2"/>
    <w:rsid w:val="00FA1341"/>
    <w:rsid w:val="00FA170A"/>
    <w:rsid w:val="00FA1812"/>
    <w:rsid w:val="00FA1815"/>
    <w:rsid w:val="00FA1828"/>
    <w:rsid w:val="00FA1BB7"/>
    <w:rsid w:val="00FA1C53"/>
    <w:rsid w:val="00FA1CB8"/>
    <w:rsid w:val="00FA1CD5"/>
    <w:rsid w:val="00FA1EA6"/>
    <w:rsid w:val="00FA203F"/>
    <w:rsid w:val="00FA207B"/>
    <w:rsid w:val="00FA210C"/>
    <w:rsid w:val="00FA2184"/>
    <w:rsid w:val="00FA23F0"/>
    <w:rsid w:val="00FA251A"/>
    <w:rsid w:val="00FA25D9"/>
    <w:rsid w:val="00FA2619"/>
    <w:rsid w:val="00FA269D"/>
    <w:rsid w:val="00FA2CDB"/>
    <w:rsid w:val="00FA3361"/>
    <w:rsid w:val="00FA3519"/>
    <w:rsid w:val="00FA353F"/>
    <w:rsid w:val="00FA3B52"/>
    <w:rsid w:val="00FA4047"/>
    <w:rsid w:val="00FA438F"/>
    <w:rsid w:val="00FA479A"/>
    <w:rsid w:val="00FA5094"/>
    <w:rsid w:val="00FA50E2"/>
    <w:rsid w:val="00FA5482"/>
    <w:rsid w:val="00FA5541"/>
    <w:rsid w:val="00FA55EB"/>
    <w:rsid w:val="00FA56A6"/>
    <w:rsid w:val="00FA58E7"/>
    <w:rsid w:val="00FA5B9C"/>
    <w:rsid w:val="00FA5CF7"/>
    <w:rsid w:val="00FA5CF9"/>
    <w:rsid w:val="00FA5DBD"/>
    <w:rsid w:val="00FA5E89"/>
    <w:rsid w:val="00FA5FAF"/>
    <w:rsid w:val="00FA61EF"/>
    <w:rsid w:val="00FA6276"/>
    <w:rsid w:val="00FA6407"/>
    <w:rsid w:val="00FA6546"/>
    <w:rsid w:val="00FA6607"/>
    <w:rsid w:val="00FA66C1"/>
    <w:rsid w:val="00FA6765"/>
    <w:rsid w:val="00FA6862"/>
    <w:rsid w:val="00FA6927"/>
    <w:rsid w:val="00FA6938"/>
    <w:rsid w:val="00FA6AA4"/>
    <w:rsid w:val="00FA6CB3"/>
    <w:rsid w:val="00FA6DA1"/>
    <w:rsid w:val="00FA710A"/>
    <w:rsid w:val="00FA7124"/>
    <w:rsid w:val="00FA7215"/>
    <w:rsid w:val="00FA7643"/>
    <w:rsid w:val="00FA7658"/>
    <w:rsid w:val="00FA7738"/>
    <w:rsid w:val="00FA77B8"/>
    <w:rsid w:val="00FA77FB"/>
    <w:rsid w:val="00FA7840"/>
    <w:rsid w:val="00FA7B3F"/>
    <w:rsid w:val="00FA7B96"/>
    <w:rsid w:val="00FA7E38"/>
    <w:rsid w:val="00FB0050"/>
    <w:rsid w:val="00FB01AA"/>
    <w:rsid w:val="00FB028A"/>
    <w:rsid w:val="00FB06AF"/>
    <w:rsid w:val="00FB0BC5"/>
    <w:rsid w:val="00FB0C75"/>
    <w:rsid w:val="00FB0E33"/>
    <w:rsid w:val="00FB0E4F"/>
    <w:rsid w:val="00FB0FCA"/>
    <w:rsid w:val="00FB1170"/>
    <w:rsid w:val="00FB11D5"/>
    <w:rsid w:val="00FB125E"/>
    <w:rsid w:val="00FB132B"/>
    <w:rsid w:val="00FB15BA"/>
    <w:rsid w:val="00FB15C4"/>
    <w:rsid w:val="00FB1714"/>
    <w:rsid w:val="00FB185B"/>
    <w:rsid w:val="00FB1E1C"/>
    <w:rsid w:val="00FB2255"/>
    <w:rsid w:val="00FB2291"/>
    <w:rsid w:val="00FB2BF1"/>
    <w:rsid w:val="00FB315B"/>
    <w:rsid w:val="00FB358E"/>
    <w:rsid w:val="00FB36D9"/>
    <w:rsid w:val="00FB3729"/>
    <w:rsid w:val="00FB3778"/>
    <w:rsid w:val="00FB37C5"/>
    <w:rsid w:val="00FB391B"/>
    <w:rsid w:val="00FB3DE9"/>
    <w:rsid w:val="00FB404D"/>
    <w:rsid w:val="00FB40E5"/>
    <w:rsid w:val="00FB4203"/>
    <w:rsid w:val="00FB4239"/>
    <w:rsid w:val="00FB429C"/>
    <w:rsid w:val="00FB4740"/>
    <w:rsid w:val="00FB4C0B"/>
    <w:rsid w:val="00FB4C29"/>
    <w:rsid w:val="00FB4C70"/>
    <w:rsid w:val="00FB4C9B"/>
    <w:rsid w:val="00FB5303"/>
    <w:rsid w:val="00FB5473"/>
    <w:rsid w:val="00FB5478"/>
    <w:rsid w:val="00FB5544"/>
    <w:rsid w:val="00FB558C"/>
    <w:rsid w:val="00FB585F"/>
    <w:rsid w:val="00FB5AD0"/>
    <w:rsid w:val="00FB5BAA"/>
    <w:rsid w:val="00FB5BD4"/>
    <w:rsid w:val="00FB5DD6"/>
    <w:rsid w:val="00FB602D"/>
    <w:rsid w:val="00FB61BB"/>
    <w:rsid w:val="00FB62F3"/>
    <w:rsid w:val="00FB63BB"/>
    <w:rsid w:val="00FB65C6"/>
    <w:rsid w:val="00FB66BA"/>
    <w:rsid w:val="00FB67EF"/>
    <w:rsid w:val="00FB69C7"/>
    <w:rsid w:val="00FB6BB2"/>
    <w:rsid w:val="00FB6CE8"/>
    <w:rsid w:val="00FB6D14"/>
    <w:rsid w:val="00FB6F5C"/>
    <w:rsid w:val="00FB729A"/>
    <w:rsid w:val="00FB7385"/>
    <w:rsid w:val="00FB7405"/>
    <w:rsid w:val="00FB74E7"/>
    <w:rsid w:val="00FB7530"/>
    <w:rsid w:val="00FB7AE9"/>
    <w:rsid w:val="00FB7B07"/>
    <w:rsid w:val="00FB7CDC"/>
    <w:rsid w:val="00FB7E4D"/>
    <w:rsid w:val="00FB7F26"/>
    <w:rsid w:val="00FC0272"/>
    <w:rsid w:val="00FC0424"/>
    <w:rsid w:val="00FC0455"/>
    <w:rsid w:val="00FC06FA"/>
    <w:rsid w:val="00FC074F"/>
    <w:rsid w:val="00FC0A57"/>
    <w:rsid w:val="00FC0AE2"/>
    <w:rsid w:val="00FC0B10"/>
    <w:rsid w:val="00FC0F80"/>
    <w:rsid w:val="00FC0F8A"/>
    <w:rsid w:val="00FC0FB9"/>
    <w:rsid w:val="00FC1037"/>
    <w:rsid w:val="00FC11A6"/>
    <w:rsid w:val="00FC123A"/>
    <w:rsid w:val="00FC16A2"/>
    <w:rsid w:val="00FC19B3"/>
    <w:rsid w:val="00FC19EB"/>
    <w:rsid w:val="00FC1B49"/>
    <w:rsid w:val="00FC1E93"/>
    <w:rsid w:val="00FC1F2B"/>
    <w:rsid w:val="00FC22B6"/>
    <w:rsid w:val="00FC24E2"/>
    <w:rsid w:val="00FC2507"/>
    <w:rsid w:val="00FC28BF"/>
    <w:rsid w:val="00FC2B9F"/>
    <w:rsid w:val="00FC2BE8"/>
    <w:rsid w:val="00FC2FB1"/>
    <w:rsid w:val="00FC3054"/>
    <w:rsid w:val="00FC30C3"/>
    <w:rsid w:val="00FC3322"/>
    <w:rsid w:val="00FC3382"/>
    <w:rsid w:val="00FC361B"/>
    <w:rsid w:val="00FC39CB"/>
    <w:rsid w:val="00FC3A9A"/>
    <w:rsid w:val="00FC3AF7"/>
    <w:rsid w:val="00FC3FB3"/>
    <w:rsid w:val="00FC4027"/>
    <w:rsid w:val="00FC4485"/>
    <w:rsid w:val="00FC453B"/>
    <w:rsid w:val="00FC453C"/>
    <w:rsid w:val="00FC4776"/>
    <w:rsid w:val="00FC49AE"/>
    <w:rsid w:val="00FC4A67"/>
    <w:rsid w:val="00FC4C49"/>
    <w:rsid w:val="00FC4E3B"/>
    <w:rsid w:val="00FC4E5C"/>
    <w:rsid w:val="00FC4EE2"/>
    <w:rsid w:val="00FC51A3"/>
    <w:rsid w:val="00FC53D6"/>
    <w:rsid w:val="00FC54BE"/>
    <w:rsid w:val="00FC5624"/>
    <w:rsid w:val="00FC57ED"/>
    <w:rsid w:val="00FC5876"/>
    <w:rsid w:val="00FC58F0"/>
    <w:rsid w:val="00FC59BF"/>
    <w:rsid w:val="00FC5DFE"/>
    <w:rsid w:val="00FC5E83"/>
    <w:rsid w:val="00FC5FB7"/>
    <w:rsid w:val="00FC6004"/>
    <w:rsid w:val="00FC60D1"/>
    <w:rsid w:val="00FC61BA"/>
    <w:rsid w:val="00FC634D"/>
    <w:rsid w:val="00FC6352"/>
    <w:rsid w:val="00FC63EE"/>
    <w:rsid w:val="00FC6749"/>
    <w:rsid w:val="00FC675E"/>
    <w:rsid w:val="00FC686F"/>
    <w:rsid w:val="00FC69EF"/>
    <w:rsid w:val="00FC6A19"/>
    <w:rsid w:val="00FC6AC7"/>
    <w:rsid w:val="00FC701A"/>
    <w:rsid w:val="00FC7095"/>
    <w:rsid w:val="00FC7216"/>
    <w:rsid w:val="00FC736B"/>
    <w:rsid w:val="00FC73C9"/>
    <w:rsid w:val="00FC73E6"/>
    <w:rsid w:val="00FC73ED"/>
    <w:rsid w:val="00FC763A"/>
    <w:rsid w:val="00FC791C"/>
    <w:rsid w:val="00FC7A87"/>
    <w:rsid w:val="00FC7AD6"/>
    <w:rsid w:val="00FD0020"/>
    <w:rsid w:val="00FD007A"/>
    <w:rsid w:val="00FD0244"/>
    <w:rsid w:val="00FD0385"/>
    <w:rsid w:val="00FD043A"/>
    <w:rsid w:val="00FD0442"/>
    <w:rsid w:val="00FD04A2"/>
    <w:rsid w:val="00FD09A2"/>
    <w:rsid w:val="00FD0B18"/>
    <w:rsid w:val="00FD0B8A"/>
    <w:rsid w:val="00FD0D1B"/>
    <w:rsid w:val="00FD0D50"/>
    <w:rsid w:val="00FD1524"/>
    <w:rsid w:val="00FD15F6"/>
    <w:rsid w:val="00FD1700"/>
    <w:rsid w:val="00FD191E"/>
    <w:rsid w:val="00FD1A92"/>
    <w:rsid w:val="00FD1C15"/>
    <w:rsid w:val="00FD1C71"/>
    <w:rsid w:val="00FD1CDC"/>
    <w:rsid w:val="00FD1DD4"/>
    <w:rsid w:val="00FD207D"/>
    <w:rsid w:val="00FD209D"/>
    <w:rsid w:val="00FD210F"/>
    <w:rsid w:val="00FD216F"/>
    <w:rsid w:val="00FD224A"/>
    <w:rsid w:val="00FD2510"/>
    <w:rsid w:val="00FD29D4"/>
    <w:rsid w:val="00FD2A98"/>
    <w:rsid w:val="00FD3005"/>
    <w:rsid w:val="00FD35BB"/>
    <w:rsid w:val="00FD3674"/>
    <w:rsid w:val="00FD3862"/>
    <w:rsid w:val="00FD3A86"/>
    <w:rsid w:val="00FD3CB2"/>
    <w:rsid w:val="00FD3CB6"/>
    <w:rsid w:val="00FD3F72"/>
    <w:rsid w:val="00FD42EC"/>
    <w:rsid w:val="00FD433C"/>
    <w:rsid w:val="00FD437D"/>
    <w:rsid w:val="00FD43AD"/>
    <w:rsid w:val="00FD4453"/>
    <w:rsid w:val="00FD49E8"/>
    <w:rsid w:val="00FD4A9D"/>
    <w:rsid w:val="00FD4ABB"/>
    <w:rsid w:val="00FD4AD3"/>
    <w:rsid w:val="00FD4C98"/>
    <w:rsid w:val="00FD508B"/>
    <w:rsid w:val="00FD53B0"/>
    <w:rsid w:val="00FD5849"/>
    <w:rsid w:val="00FD5891"/>
    <w:rsid w:val="00FD594E"/>
    <w:rsid w:val="00FD59B3"/>
    <w:rsid w:val="00FD59FB"/>
    <w:rsid w:val="00FD5D68"/>
    <w:rsid w:val="00FD5D87"/>
    <w:rsid w:val="00FD5E77"/>
    <w:rsid w:val="00FD6031"/>
    <w:rsid w:val="00FD6171"/>
    <w:rsid w:val="00FD621F"/>
    <w:rsid w:val="00FD630A"/>
    <w:rsid w:val="00FD6495"/>
    <w:rsid w:val="00FD65D5"/>
    <w:rsid w:val="00FD65DF"/>
    <w:rsid w:val="00FD6708"/>
    <w:rsid w:val="00FD680A"/>
    <w:rsid w:val="00FD6D75"/>
    <w:rsid w:val="00FD6E26"/>
    <w:rsid w:val="00FD6EF6"/>
    <w:rsid w:val="00FD6F10"/>
    <w:rsid w:val="00FD6F56"/>
    <w:rsid w:val="00FD72A2"/>
    <w:rsid w:val="00FD745C"/>
    <w:rsid w:val="00FD74BC"/>
    <w:rsid w:val="00FD79BC"/>
    <w:rsid w:val="00FE002F"/>
    <w:rsid w:val="00FE04B8"/>
    <w:rsid w:val="00FE05CD"/>
    <w:rsid w:val="00FE0612"/>
    <w:rsid w:val="00FE0966"/>
    <w:rsid w:val="00FE0C01"/>
    <w:rsid w:val="00FE0CC4"/>
    <w:rsid w:val="00FE0E5E"/>
    <w:rsid w:val="00FE0EBE"/>
    <w:rsid w:val="00FE0ECA"/>
    <w:rsid w:val="00FE0F45"/>
    <w:rsid w:val="00FE0FA3"/>
    <w:rsid w:val="00FE116C"/>
    <w:rsid w:val="00FE11DB"/>
    <w:rsid w:val="00FE13B1"/>
    <w:rsid w:val="00FE16A4"/>
    <w:rsid w:val="00FE16BC"/>
    <w:rsid w:val="00FE1860"/>
    <w:rsid w:val="00FE1927"/>
    <w:rsid w:val="00FE19A8"/>
    <w:rsid w:val="00FE1B89"/>
    <w:rsid w:val="00FE1CB6"/>
    <w:rsid w:val="00FE1D86"/>
    <w:rsid w:val="00FE2021"/>
    <w:rsid w:val="00FE209E"/>
    <w:rsid w:val="00FE227A"/>
    <w:rsid w:val="00FE2337"/>
    <w:rsid w:val="00FE236E"/>
    <w:rsid w:val="00FE246B"/>
    <w:rsid w:val="00FE254A"/>
    <w:rsid w:val="00FE25C2"/>
    <w:rsid w:val="00FE26BA"/>
    <w:rsid w:val="00FE2844"/>
    <w:rsid w:val="00FE2869"/>
    <w:rsid w:val="00FE29CB"/>
    <w:rsid w:val="00FE2C86"/>
    <w:rsid w:val="00FE2CFB"/>
    <w:rsid w:val="00FE2DA2"/>
    <w:rsid w:val="00FE2F71"/>
    <w:rsid w:val="00FE3035"/>
    <w:rsid w:val="00FE3094"/>
    <w:rsid w:val="00FE3127"/>
    <w:rsid w:val="00FE343C"/>
    <w:rsid w:val="00FE3735"/>
    <w:rsid w:val="00FE3999"/>
    <w:rsid w:val="00FE3C25"/>
    <w:rsid w:val="00FE4004"/>
    <w:rsid w:val="00FE426E"/>
    <w:rsid w:val="00FE437D"/>
    <w:rsid w:val="00FE4398"/>
    <w:rsid w:val="00FE4B26"/>
    <w:rsid w:val="00FE4BAC"/>
    <w:rsid w:val="00FE4C62"/>
    <w:rsid w:val="00FE4D04"/>
    <w:rsid w:val="00FE4E04"/>
    <w:rsid w:val="00FE4EBD"/>
    <w:rsid w:val="00FE4EC2"/>
    <w:rsid w:val="00FE5011"/>
    <w:rsid w:val="00FE50F2"/>
    <w:rsid w:val="00FE5119"/>
    <w:rsid w:val="00FE5220"/>
    <w:rsid w:val="00FE5344"/>
    <w:rsid w:val="00FE56A4"/>
    <w:rsid w:val="00FE5702"/>
    <w:rsid w:val="00FE5AB3"/>
    <w:rsid w:val="00FE5B92"/>
    <w:rsid w:val="00FE5C3F"/>
    <w:rsid w:val="00FE5CC0"/>
    <w:rsid w:val="00FE61DA"/>
    <w:rsid w:val="00FE62F4"/>
    <w:rsid w:val="00FE65B4"/>
    <w:rsid w:val="00FE67DC"/>
    <w:rsid w:val="00FE6A9E"/>
    <w:rsid w:val="00FE6B16"/>
    <w:rsid w:val="00FE6B6D"/>
    <w:rsid w:val="00FE6B9B"/>
    <w:rsid w:val="00FE6D4A"/>
    <w:rsid w:val="00FE6F59"/>
    <w:rsid w:val="00FE70CB"/>
    <w:rsid w:val="00FE711D"/>
    <w:rsid w:val="00FE715D"/>
    <w:rsid w:val="00FE7235"/>
    <w:rsid w:val="00FE74C4"/>
    <w:rsid w:val="00FE7508"/>
    <w:rsid w:val="00FE750E"/>
    <w:rsid w:val="00FE7531"/>
    <w:rsid w:val="00FE753B"/>
    <w:rsid w:val="00FE7637"/>
    <w:rsid w:val="00FE7C47"/>
    <w:rsid w:val="00FE7D16"/>
    <w:rsid w:val="00FE7E60"/>
    <w:rsid w:val="00FF0038"/>
    <w:rsid w:val="00FF0201"/>
    <w:rsid w:val="00FF028B"/>
    <w:rsid w:val="00FF02C6"/>
    <w:rsid w:val="00FF0344"/>
    <w:rsid w:val="00FF04EA"/>
    <w:rsid w:val="00FF04F9"/>
    <w:rsid w:val="00FF080C"/>
    <w:rsid w:val="00FF09DF"/>
    <w:rsid w:val="00FF0BA1"/>
    <w:rsid w:val="00FF0BD2"/>
    <w:rsid w:val="00FF0E27"/>
    <w:rsid w:val="00FF10A6"/>
    <w:rsid w:val="00FF1325"/>
    <w:rsid w:val="00FF133C"/>
    <w:rsid w:val="00FF13AB"/>
    <w:rsid w:val="00FF154D"/>
    <w:rsid w:val="00FF1558"/>
    <w:rsid w:val="00FF15D6"/>
    <w:rsid w:val="00FF1760"/>
    <w:rsid w:val="00FF1A72"/>
    <w:rsid w:val="00FF1CC6"/>
    <w:rsid w:val="00FF1D8F"/>
    <w:rsid w:val="00FF2189"/>
    <w:rsid w:val="00FF220D"/>
    <w:rsid w:val="00FF227B"/>
    <w:rsid w:val="00FF2448"/>
    <w:rsid w:val="00FF2742"/>
    <w:rsid w:val="00FF2839"/>
    <w:rsid w:val="00FF2AE6"/>
    <w:rsid w:val="00FF2E61"/>
    <w:rsid w:val="00FF2F5C"/>
    <w:rsid w:val="00FF2FD1"/>
    <w:rsid w:val="00FF357E"/>
    <w:rsid w:val="00FF3615"/>
    <w:rsid w:val="00FF3754"/>
    <w:rsid w:val="00FF3993"/>
    <w:rsid w:val="00FF3A7C"/>
    <w:rsid w:val="00FF3B88"/>
    <w:rsid w:val="00FF3CD7"/>
    <w:rsid w:val="00FF4090"/>
    <w:rsid w:val="00FF43F3"/>
    <w:rsid w:val="00FF48B0"/>
    <w:rsid w:val="00FF4B14"/>
    <w:rsid w:val="00FF4B80"/>
    <w:rsid w:val="00FF4B98"/>
    <w:rsid w:val="00FF503E"/>
    <w:rsid w:val="00FF5275"/>
    <w:rsid w:val="00FF5639"/>
    <w:rsid w:val="00FF5CBF"/>
    <w:rsid w:val="00FF6076"/>
    <w:rsid w:val="00FF6114"/>
    <w:rsid w:val="00FF6228"/>
    <w:rsid w:val="00FF67CB"/>
    <w:rsid w:val="00FF68DE"/>
    <w:rsid w:val="00FF6EA1"/>
    <w:rsid w:val="00FF7508"/>
    <w:rsid w:val="00FF7C47"/>
    <w:rsid w:val="00FF7C5C"/>
    <w:rsid w:val="00FF7D57"/>
    <w:rsid w:val="00FF7DDC"/>
    <w:rsid w:val="00FF7E7A"/>
    <w:rsid w:val="01BD76FE"/>
    <w:rsid w:val="039E39CA"/>
    <w:rsid w:val="0B6F7E06"/>
    <w:rsid w:val="0FAC1D8C"/>
    <w:rsid w:val="15D142F3"/>
    <w:rsid w:val="17DD9AFC"/>
    <w:rsid w:val="18192950"/>
    <w:rsid w:val="1ADC7006"/>
    <w:rsid w:val="2E442543"/>
    <w:rsid w:val="2F397AA7"/>
    <w:rsid w:val="342B5193"/>
    <w:rsid w:val="42190100"/>
    <w:rsid w:val="4BD091A2"/>
    <w:rsid w:val="5176D5EB"/>
    <w:rsid w:val="5BC10DE2"/>
    <w:rsid w:val="5E0F5620"/>
    <w:rsid w:val="5FED347A"/>
    <w:rsid w:val="65DD502E"/>
    <w:rsid w:val="6FAFD779"/>
    <w:rsid w:val="6FFB6D23"/>
    <w:rsid w:val="7BFFDCFD"/>
    <w:rsid w:val="7FF78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tabs>
        <w:tab w:val="left" w:pos="2552"/>
      </w:tabs>
      <w:spacing w:before="340" w:after="330" w:line="578" w:lineRule="auto"/>
      <w:ind w:left="2552" w:hanging="425"/>
      <w:outlineLvl w:val="0"/>
    </w:pPr>
    <w:rPr>
      <w:b/>
      <w:bCs/>
      <w:kern w:val="44"/>
      <w:sz w:val="44"/>
      <w:szCs w:val="44"/>
    </w:rPr>
  </w:style>
  <w:style w:type="paragraph" w:styleId="2">
    <w:name w:val="heading 2"/>
    <w:basedOn w:val="a0"/>
    <w:next w:val="a0"/>
    <w:link w:val="2Char1"/>
    <w:qFormat/>
    <w:pPr>
      <w:keepNext/>
      <w:keepLines/>
      <w:tabs>
        <w:tab w:val="left" w:pos="2552"/>
        <w:tab w:val="left" w:pos="5387"/>
      </w:tabs>
      <w:spacing w:before="260" w:after="260" w:line="416" w:lineRule="auto"/>
      <w:ind w:left="5387" w:hanging="567"/>
      <w:outlineLvl w:val="1"/>
    </w:pPr>
    <w:rPr>
      <w:rFonts w:ascii="Arial" w:eastAsia="黑体" w:hAnsi="Arial"/>
      <w:b/>
      <w:bCs/>
      <w:sz w:val="32"/>
      <w:szCs w:val="32"/>
    </w:rPr>
  </w:style>
  <w:style w:type="paragraph" w:styleId="3">
    <w:name w:val="heading 3"/>
    <w:basedOn w:val="a0"/>
    <w:next w:val="a0"/>
    <w:link w:val="3Char1"/>
    <w:qFormat/>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0"/>
    <w:next w:val="a0"/>
    <w:link w:val="4Char1"/>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0"/>
    <w:next w:val="a0"/>
    <w:link w:val="5Char1"/>
    <w:qFormat/>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0"/>
    <w:next w:val="a0"/>
    <w:link w:val="6Char1"/>
    <w:qFormat/>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0"/>
    <w:next w:val="a0"/>
    <w:link w:val="7Char1"/>
    <w:qFormat/>
    <w:pPr>
      <w:keepNext/>
      <w:keepLines/>
      <w:tabs>
        <w:tab w:val="left" w:pos="1296"/>
      </w:tabs>
      <w:spacing w:before="240" w:after="64" w:line="320" w:lineRule="auto"/>
      <w:ind w:left="1296" w:hanging="1296"/>
      <w:outlineLvl w:val="6"/>
    </w:pPr>
    <w:rPr>
      <w:b/>
      <w:bCs/>
      <w:kern w:val="0"/>
      <w:sz w:val="24"/>
    </w:rPr>
  </w:style>
  <w:style w:type="paragraph" w:styleId="8">
    <w:name w:val="heading 8"/>
    <w:basedOn w:val="a0"/>
    <w:next w:val="a0"/>
    <w:link w:val="8Char1"/>
    <w:qFormat/>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0"/>
    <w:next w:val="a0"/>
    <w:link w:val="9Char1"/>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a4">
    <w:name w:val="Document Map"/>
    <w:basedOn w:val="a0"/>
    <w:link w:val="Char1"/>
    <w:uiPriority w:val="99"/>
    <w:unhideWhenUsed/>
    <w:qFormat/>
    <w:rPr>
      <w:rFonts w:ascii="宋体"/>
      <w:sz w:val="18"/>
      <w:szCs w:val="18"/>
    </w:rPr>
  </w:style>
  <w:style w:type="paragraph" w:styleId="a5">
    <w:name w:val="annotation text"/>
    <w:basedOn w:val="a0"/>
    <w:link w:val="Char10"/>
    <w:uiPriority w:val="99"/>
    <w:qFormat/>
    <w:pPr>
      <w:adjustRightInd w:val="0"/>
      <w:spacing w:line="360" w:lineRule="atLeast"/>
      <w:jc w:val="left"/>
      <w:textAlignment w:val="baseline"/>
    </w:pPr>
    <w:rPr>
      <w:rFonts w:ascii="CG Times (W1)" w:eastAsia="MingLiU" w:hAnsi="CG Times (W1)"/>
      <w:kern w:val="0"/>
      <w:sz w:val="24"/>
      <w:szCs w:val="20"/>
      <w:lang w:eastAsia="zh-TW"/>
    </w:rPr>
  </w:style>
  <w:style w:type="paragraph" w:styleId="a6">
    <w:name w:val="Body Text"/>
    <w:basedOn w:val="a0"/>
    <w:link w:val="Char"/>
    <w:uiPriority w:val="99"/>
    <w:unhideWhenUsed/>
    <w:qFormat/>
    <w:pPr>
      <w:spacing w:after="120"/>
    </w:pPr>
  </w:style>
  <w:style w:type="paragraph" w:styleId="a7">
    <w:name w:val="Body Text Indent"/>
    <w:basedOn w:val="a0"/>
    <w:link w:val="Char11"/>
    <w:qFormat/>
    <w:pPr>
      <w:spacing w:after="120"/>
      <w:ind w:leftChars="200" w:left="420"/>
    </w:pPr>
    <w:rPr>
      <w:kern w:val="0"/>
      <w:sz w:val="20"/>
    </w:rPr>
  </w:style>
  <w:style w:type="paragraph" w:styleId="50">
    <w:name w:val="toc 5"/>
    <w:basedOn w:val="a0"/>
    <w:next w:val="a0"/>
    <w:uiPriority w:val="39"/>
    <w:qFormat/>
    <w:pPr>
      <w:ind w:leftChars="800" w:left="1680"/>
    </w:pPr>
  </w:style>
  <w:style w:type="paragraph" w:styleId="30">
    <w:name w:val="toc 3"/>
    <w:basedOn w:val="a0"/>
    <w:next w:val="a0"/>
    <w:uiPriority w:val="39"/>
    <w:qFormat/>
    <w:pPr>
      <w:ind w:leftChars="400" w:left="840"/>
    </w:pPr>
  </w:style>
  <w:style w:type="paragraph" w:styleId="a8">
    <w:name w:val="Plain Text"/>
    <w:basedOn w:val="a0"/>
    <w:link w:val="Char0"/>
    <w:qFormat/>
    <w:rPr>
      <w:rFonts w:ascii="宋体" w:hAnsi="Courier New"/>
      <w:szCs w:val="21"/>
    </w:rPr>
  </w:style>
  <w:style w:type="paragraph" w:styleId="80">
    <w:name w:val="toc 8"/>
    <w:basedOn w:val="a0"/>
    <w:next w:val="a0"/>
    <w:uiPriority w:val="39"/>
    <w:qFormat/>
    <w:pPr>
      <w:ind w:leftChars="1400" w:left="2940"/>
    </w:pPr>
  </w:style>
  <w:style w:type="paragraph" w:styleId="a9">
    <w:name w:val="Balloon Text"/>
    <w:basedOn w:val="a0"/>
    <w:link w:val="Char12"/>
    <w:qFormat/>
    <w:rPr>
      <w:kern w:val="0"/>
      <w:sz w:val="18"/>
      <w:szCs w:val="18"/>
    </w:rPr>
  </w:style>
  <w:style w:type="paragraph" w:styleId="aa">
    <w:name w:val="footer"/>
    <w:basedOn w:val="a0"/>
    <w:link w:val="Char13"/>
    <w:qFormat/>
    <w:pPr>
      <w:tabs>
        <w:tab w:val="center" w:pos="4153"/>
        <w:tab w:val="right" w:pos="8306"/>
      </w:tabs>
      <w:snapToGrid w:val="0"/>
      <w:jc w:val="left"/>
    </w:pPr>
    <w:rPr>
      <w:kern w:val="0"/>
      <w:sz w:val="18"/>
      <w:szCs w:val="18"/>
    </w:rPr>
  </w:style>
  <w:style w:type="paragraph" w:styleId="ab">
    <w:name w:val="header"/>
    <w:basedOn w:val="a0"/>
    <w:link w:val="Char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left" w:pos="1680"/>
        <w:tab w:val="right" w:leader="dot" w:pos="8296"/>
      </w:tabs>
      <w:spacing w:line="480" w:lineRule="exact"/>
    </w:pPr>
    <w:rPr>
      <w:rFonts w:eastAsia="楷体_GB2312"/>
      <w:sz w:val="24"/>
    </w:rPr>
  </w:style>
  <w:style w:type="paragraph" w:styleId="40">
    <w:name w:val="toc 4"/>
    <w:basedOn w:val="a0"/>
    <w:next w:val="a0"/>
    <w:uiPriority w:val="39"/>
    <w:qFormat/>
    <w:pPr>
      <w:ind w:leftChars="600" w:left="1260"/>
    </w:pPr>
  </w:style>
  <w:style w:type="paragraph" w:styleId="60">
    <w:name w:val="toc 6"/>
    <w:basedOn w:val="a0"/>
    <w:next w:val="a0"/>
    <w:uiPriority w:val="39"/>
    <w:qFormat/>
    <w:pPr>
      <w:ind w:leftChars="1000" w:left="2100"/>
    </w:pPr>
  </w:style>
  <w:style w:type="paragraph" w:styleId="20">
    <w:name w:val="toc 2"/>
    <w:basedOn w:val="a0"/>
    <w:next w:val="a0"/>
    <w:uiPriority w:val="39"/>
    <w:qFormat/>
    <w:pPr>
      <w:tabs>
        <w:tab w:val="left" w:pos="1260"/>
        <w:tab w:val="right" w:leader="dot" w:pos="8296"/>
      </w:tabs>
      <w:spacing w:line="400" w:lineRule="exact"/>
      <w:ind w:leftChars="200" w:left="420"/>
    </w:pPr>
  </w:style>
  <w:style w:type="paragraph" w:styleId="90">
    <w:name w:val="toc 9"/>
    <w:basedOn w:val="a0"/>
    <w:next w:val="a0"/>
    <w:uiPriority w:val="39"/>
    <w:qFormat/>
    <w:pPr>
      <w:ind w:leftChars="1600" w:left="3360"/>
    </w:pPr>
  </w:style>
  <w:style w:type="paragraph" w:styleId="ac">
    <w:name w:val="Title"/>
    <w:basedOn w:val="a0"/>
    <w:next w:val="a0"/>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Char14"/>
    <w:qFormat/>
    <w:pPr>
      <w:adjustRightInd/>
      <w:spacing w:line="240" w:lineRule="auto"/>
      <w:textAlignment w:val="auto"/>
    </w:pPr>
    <w:rPr>
      <w:rFonts w:ascii="Times New Roman" w:eastAsia="宋体" w:hAnsi="Times New Roman"/>
      <w:b/>
      <w:bCs/>
      <w:szCs w:val="24"/>
    </w:rPr>
  </w:style>
  <w:style w:type="table" w:styleId="ae">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qFormat/>
    <w:rPr>
      <w:color w:val="800080"/>
      <w:u w:val="single"/>
    </w:rPr>
  </w:style>
  <w:style w:type="character" w:styleId="af1">
    <w:name w:val="Emphasis"/>
    <w:basedOn w:val="a1"/>
    <w:uiPriority w:val="20"/>
    <w:qFormat/>
    <w:rPr>
      <w:i/>
      <w:iCs/>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Char14">
    <w:name w:val="批注主题 Char1"/>
    <w:link w:val="ad"/>
    <w:semiHidden/>
    <w:qFormat/>
    <w:rPr>
      <w:rFonts w:ascii="Times New Roman" w:eastAsia="宋体" w:hAnsi="Times New Roman" w:cs="Times New Roman"/>
      <w:b/>
      <w:bCs/>
      <w:kern w:val="0"/>
      <w:sz w:val="24"/>
      <w:szCs w:val="24"/>
      <w:lang w:eastAsia="zh-TW"/>
    </w:rPr>
  </w:style>
  <w:style w:type="character" w:customStyle="1" w:styleId="Char10">
    <w:name w:val="批注文字 Char1"/>
    <w:link w:val="a5"/>
    <w:uiPriority w:val="99"/>
    <w:qFormat/>
    <w:rPr>
      <w:rFonts w:ascii="CG Times (W1)" w:eastAsia="MingLiU" w:hAnsi="CG Times (W1)" w:cs="Times New Roman"/>
      <w:kern w:val="0"/>
      <w:sz w:val="24"/>
      <w:szCs w:val="20"/>
      <w:lang w:eastAsia="zh-TW"/>
    </w:rPr>
  </w:style>
  <w:style w:type="character" w:customStyle="1" w:styleId="Char15">
    <w:name w:val="页眉 Char1"/>
    <w:qFormat/>
    <w:rPr>
      <w:rFonts w:ascii="仿宋_GB2312" w:eastAsia="仿宋_GB2312" w:hint="eastAsia"/>
      <w:sz w:val="18"/>
      <w:szCs w:val="18"/>
    </w:rPr>
  </w:style>
  <w:style w:type="character" w:customStyle="1" w:styleId="1Char1">
    <w:name w:val="标题 1 Char1"/>
    <w:link w:val="1"/>
    <w:qFormat/>
    <w:rPr>
      <w:b/>
      <w:bCs/>
      <w:kern w:val="44"/>
      <w:sz w:val="44"/>
      <w:szCs w:val="44"/>
    </w:rPr>
  </w:style>
  <w:style w:type="character" w:customStyle="1" w:styleId="7Char1">
    <w:name w:val="标题 7 Char1"/>
    <w:link w:val="7"/>
    <w:qFormat/>
    <w:rPr>
      <w:rFonts w:ascii="Times New Roman" w:hAnsi="Times New Roman"/>
      <w:b/>
      <w:bCs/>
      <w:sz w:val="24"/>
      <w:szCs w:val="24"/>
    </w:rPr>
  </w:style>
  <w:style w:type="character" w:customStyle="1" w:styleId="6Char1">
    <w:name w:val="标题 6 Char1"/>
    <w:link w:val="6"/>
    <w:qFormat/>
    <w:rPr>
      <w:rFonts w:ascii="Arial" w:eastAsia="黑体" w:hAnsi="Arial"/>
      <w:b/>
      <w:bCs/>
      <w:sz w:val="24"/>
      <w:szCs w:val="24"/>
    </w:rPr>
  </w:style>
  <w:style w:type="character" w:customStyle="1" w:styleId="5Char1">
    <w:name w:val="标题 5 Char1"/>
    <w:link w:val="5"/>
    <w:qFormat/>
    <w:rPr>
      <w:rFonts w:ascii="Times New Roman" w:hAnsi="Times New Roman"/>
      <w:b/>
      <w:bCs/>
      <w:sz w:val="28"/>
      <w:szCs w:val="28"/>
    </w:rPr>
  </w:style>
  <w:style w:type="character" w:customStyle="1" w:styleId="2Char1">
    <w:name w:val="标题 2 Char1"/>
    <w:link w:val="2"/>
    <w:qFormat/>
    <w:rPr>
      <w:rFonts w:ascii="Arial" w:eastAsia="黑体" w:hAnsi="Arial"/>
      <w:b/>
      <w:bCs/>
      <w:kern w:val="2"/>
      <w:sz w:val="32"/>
      <w:szCs w:val="32"/>
    </w:rPr>
  </w:style>
  <w:style w:type="character" w:customStyle="1" w:styleId="Char0">
    <w:name w:val="纯文本 Char"/>
    <w:link w:val="a8"/>
    <w:qFormat/>
    <w:rPr>
      <w:rFonts w:ascii="宋体" w:hAnsi="Courier New"/>
      <w:kern w:val="2"/>
      <w:sz w:val="21"/>
      <w:szCs w:val="21"/>
    </w:rPr>
  </w:style>
  <w:style w:type="character" w:customStyle="1" w:styleId="Char11">
    <w:name w:val="正文文本缩进 Char1"/>
    <w:link w:val="a7"/>
    <w:qFormat/>
    <w:rPr>
      <w:rFonts w:ascii="Times New Roman" w:hAnsi="Times New Roman"/>
      <w:szCs w:val="24"/>
    </w:rPr>
  </w:style>
  <w:style w:type="character" w:customStyle="1" w:styleId="9Char1">
    <w:name w:val="标题 9 Char1"/>
    <w:link w:val="9"/>
    <w:qFormat/>
    <w:rPr>
      <w:rFonts w:ascii="Arial" w:eastAsia="黑体" w:hAnsi="Arial"/>
      <w:szCs w:val="21"/>
    </w:rPr>
  </w:style>
  <w:style w:type="character" w:customStyle="1" w:styleId="Char1">
    <w:name w:val="文档结构图 Char1"/>
    <w:link w:val="a4"/>
    <w:uiPriority w:val="99"/>
    <w:qFormat/>
    <w:rPr>
      <w:rFonts w:ascii="宋体" w:hAnsi="Times New Roman"/>
      <w:kern w:val="2"/>
      <w:sz w:val="18"/>
      <w:szCs w:val="18"/>
    </w:rPr>
  </w:style>
  <w:style w:type="character" w:customStyle="1" w:styleId="Char2">
    <w:name w:val="页眉 Char2"/>
    <w:link w:val="ab"/>
    <w:qFormat/>
    <w:rPr>
      <w:rFonts w:ascii="Times New Roman" w:eastAsia="宋体" w:hAnsi="Times New Roman" w:cs="Times New Roman"/>
      <w:sz w:val="18"/>
      <w:szCs w:val="18"/>
    </w:rPr>
  </w:style>
  <w:style w:type="character" w:customStyle="1" w:styleId="8Char1">
    <w:name w:val="标题 8 Char1"/>
    <w:link w:val="8"/>
    <w:qFormat/>
    <w:rPr>
      <w:rFonts w:ascii="Arial" w:eastAsia="黑体" w:hAnsi="Arial"/>
      <w:sz w:val="24"/>
      <w:szCs w:val="24"/>
    </w:rPr>
  </w:style>
  <w:style w:type="character" w:customStyle="1" w:styleId="3Char1">
    <w:name w:val="标题 3 Char1"/>
    <w:link w:val="3"/>
    <w:qFormat/>
    <w:rPr>
      <w:rFonts w:ascii="Times New Roman" w:hAnsi="Times New Roman"/>
      <w:b/>
      <w:bCs/>
      <w:sz w:val="32"/>
      <w:szCs w:val="32"/>
    </w:rPr>
  </w:style>
  <w:style w:type="character" w:customStyle="1" w:styleId="Char12">
    <w:name w:val="批注框文本 Char1"/>
    <w:link w:val="a9"/>
    <w:semiHidden/>
    <w:qFormat/>
    <w:rPr>
      <w:rFonts w:ascii="Times New Roman" w:eastAsia="宋体" w:hAnsi="Times New Roman" w:cs="Times New Roman"/>
      <w:sz w:val="18"/>
      <w:szCs w:val="18"/>
    </w:rPr>
  </w:style>
  <w:style w:type="character" w:customStyle="1" w:styleId="Char13">
    <w:name w:val="页脚 Char1"/>
    <w:link w:val="aa"/>
    <w:uiPriority w:val="99"/>
    <w:qFormat/>
    <w:rPr>
      <w:rFonts w:ascii="Times New Roman" w:eastAsia="宋体" w:hAnsi="Times New Roman" w:cs="Times New Roman"/>
      <w:sz w:val="18"/>
      <w:szCs w:val="18"/>
    </w:rPr>
  </w:style>
  <w:style w:type="character" w:customStyle="1" w:styleId="4Char1">
    <w:name w:val="标题 4 Char1"/>
    <w:link w:val="4"/>
    <w:qFormat/>
    <w:rPr>
      <w:rFonts w:ascii="Arial" w:eastAsia="黑体" w:hAnsi="Arial"/>
      <w:b/>
      <w:bCs/>
      <w:sz w:val="28"/>
      <w:szCs w:val="28"/>
    </w:rPr>
  </w:style>
  <w:style w:type="paragraph" w:customStyle="1" w:styleId="11">
    <w:name w:val="列表段落1"/>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color w:val="336699"/>
      <w:kern w:val="0"/>
      <w:sz w:val="24"/>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12">
    <w:name w:val="修订1"/>
    <w:qFormat/>
    <w:rPr>
      <w:kern w:val="2"/>
      <w:sz w:val="21"/>
      <w:szCs w:val="24"/>
    </w:rPr>
  </w:style>
  <w:style w:type="paragraph" w:customStyle="1" w:styleId="NormalJustified">
    <w:name w:val="Normal (Justified)"/>
    <w:basedOn w:val="a0"/>
    <w:link w:val="NormalJustified858D7CFB-ED40-4347-BF05-701D383B685F"/>
    <w:qFormat/>
    <w:pPr>
      <w:widowControl/>
      <w:snapToGrid w:val="0"/>
    </w:pPr>
    <w:rPr>
      <w:kern w:val="28"/>
      <w:sz w:val="24"/>
      <w:szCs w:val="20"/>
    </w:rPr>
  </w:style>
  <w:style w:type="paragraph" w:customStyle="1" w:styleId="CharCharCharChar">
    <w:name w:val="字元 字元 Char Char Char Char"/>
    <w:basedOn w:val="a0"/>
    <w:qFormat/>
    <w:pPr>
      <w:widowControl/>
      <w:spacing w:after="160" w:line="240" w:lineRule="exact"/>
      <w:jc w:val="left"/>
    </w:pPr>
    <w:rPr>
      <w:rFonts w:ascii="Verdana" w:eastAsia="Times New Roman" w:hAnsi="Verdana"/>
      <w:kern w:val="0"/>
      <w:sz w:val="20"/>
      <w:szCs w:val="20"/>
      <w:lang w:eastAsia="en-US"/>
    </w:rPr>
  </w:style>
  <w:style w:type="paragraph" w:customStyle="1" w:styleId="a">
    <w:name w:val="二级"/>
    <w:basedOn w:val="a0"/>
    <w:qFormat/>
    <w:pPr>
      <w:numPr>
        <w:ilvl w:val="1"/>
        <w:numId w:val="2"/>
      </w:numPr>
      <w:spacing w:beforeLines="30" w:afterLines="20" w:line="510" w:lineRule="exact"/>
    </w:pPr>
    <w:rPr>
      <w:rFonts w:eastAsia="华文中宋"/>
      <w:b/>
      <w:snapToGrid w:val="0"/>
      <w:kern w:val="0"/>
      <w:sz w:val="24"/>
    </w:rPr>
  </w:style>
  <w:style w:type="paragraph" w:customStyle="1" w:styleId="-12">
    <w:name w:val="彩色列表 - 强调文字颜色 12"/>
    <w:basedOn w:val="a0"/>
    <w:qFormat/>
    <w:pPr>
      <w:ind w:firstLineChars="200" w:firstLine="420"/>
    </w:pPr>
    <w:rPr>
      <w:rFonts w:ascii="Calibri" w:hAnsi="Calibri"/>
      <w:szCs w:val="22"/>
    </w:rPr>
  </w:style>
  <w:style w:type="paragraph" w:customStyle="1" w:styleId="4CharCharCharChar">
    <w:name w:val="4 Char Char Char Char"/>
    <w:basedOn w:val="a0"/>
    <w:qFormat/>
    <w:rPr>
      <w:rFonts w:ascii="Tahoma" w:hAnsi="Tahoma"/>
      <w:sz w:val="24"/>
      <w:szCs w:val="20"/>
    </w:rPr>
  </w:style>
  <w:style w:type="paragraph" w:customStyle="1" w:styleId="CharCharCharChar0">
    <w:name w:val="Char Char Char Char"/>
    <w:basedOn w:val="a0"/>
    <w:qFormat/>
    <w:pPr>
      <w:widowControl/>
      <w:spacing w:after="160" w:line="240" w:lineRule="exact"/>
      <w:jc w:val="left"/>
    </w:pPr>
    <w:rPr>
      <w:rFonts w:ascii="Verdana" w:eastAsia="Times New Roman" w:hAnsi="Verdana"/>
      <w:kern w:val="0"/>
      <w:sz w:val="20"/>
      <w:szCs w:val="20"/>
      <w:lang w:eastAsia="en-US"/>
    </w:rPr>
  </w:style>
  <w:style w:type="character" w:customStyle="1" w:styleId="Char4">
    <w:name w:val="文档结构图 Char"/>
    <w:qFormat/>
    <w:rPr>
      <w:rFonts w:ascii="宋体" w:hAnsi="Times New Roman"/>
      <w:kern w:val="2"/>
      <w:sz w:val="18"/>
      <w:szCs w:val="18"/>
    </w:rPr>
  </w:style>
  <w:style w:type="character" w:customStyle="1" w:styleId="Char5">
    <w:name w:val="批注主题 Char"/>
    <w:qFormat/>
    <w:rPr>
      <w:rFonts w:ascii="Times New Roman" w:eastAsia="宋体" w:hAnsi="Times New Roman" w:cs="Times New Roman"/>
      <w:b/>
      <w:bCs/>
      <w:kern w:val="0"/>
      <w:sz w:val="24"/>
      <w:szCs w:val="24"/>
      <w:lang w:eastAsia="zh-TW"/>
    </w:rPr>
  </w:style>
  <w:style w:type="character" w:customStyle="1" w:styleId="Char6">
    <w:name w:val="批注框文本 Char"/>
    <w:qFormat/>
    <w:rPr>
      <w:rFonts w:ascii="Times New Roman" w:eastAsia="宋体" w:hAnsi="Times New Roman" w:cs="Times New Roman"/>
      <w:sz w:val="18"/>
      <w:szCs w:val="18"/>
    </w:rPr>
  </w:style>
  <w:style w:type="character" w:customStyle="1" w:styleId="Char7">
    <w:name w:val="批注文字 Char"/>
    <w:uiPriority w:val="99"/>
    <w:qFormat/>
    <w:rPr>
      <w:rFonts w:ascii="CG Times (W1)" w:eastAsia="MingLiU" w:hAnsi="CG Times (W1)" w:cs="Times New Roman"/>
      <w:kern w:val="0"/>
      <w:sz w:val="24"/>
      <w:szCs w:val="20"/>
      <w:lang w:eastAsia="zh-TW"/>
    </w:rPr>
  </w:style>
  <w:style w:type="character" w:customStyle="1" w:styleId="Char8">
    <w:name w:val="正文文本缩进 Char"/>
    <w:qFormat/>
    <w:rPr>
      <w:rFonts w:ascii="Times New Roman" w:eastAsia="宋体" w:hAnsi="Times New Roman" w:cs="Times New Roman"/>
      <w:szCs w:val="24"/>
    </w:rPr>
  </w:style>
  <w:style w:type="character" w:customStyle="1" w:styleId="Char9">
    <w:name w:val="页脚 Char"/>
    <w:qFormat/>
    <w:rPr>
      <w:rFonts w:ascii="Times New Roman" w:eastAsia="宋体" w:hAnsi="Times New Roman" w:cs="Times New Roman"/>
      <w:sz w:val="18"/>
      <w:szCs w:val="18"/>
    </w:rPr>
  </w:style>
  <w:style w:type="character" w:customStyle="1" w:styleId="Chara">
    <w:name w:val="页眉 Char"/>
    <w:qFormat/>
    <w:rPr>
      <w:rFonts w:ascii="Times New Roman" w:eastAsia="宋体" w:hAnsi="Times New Roman" w:cs="Times New Roman"/>
      <w:sz w:val="18"/>
      <w:szCs w:val="18"/>
    </w:rPr>
  </w:style>
  <w:style w:type="character" w:customStyle="1" w:styleId="9Char">
    <w:name w:val="标题 9 Char"/>
    <w:qFormat/>
    <w:rPr>
      <w:rFonts w:ascii="Arial" w:eastAsia="黑体" w:hAnsi="Arial" w:cs="Times New Roman"/>
      <w:szCs w:val="21"/>
    </w:rPr>
  </w:style>
  <w:style w:type="character" w:customStyle="1" w:styleId="8Char">
    <w:name w:val="标题 8 Char"/>
    <w:qFormat/>
    <w:rPr>
      <w:rFonts w:ascii="Arial" w:eastAsia="黑体" w:hAnsi="Arial" w:cs="Times New Roman"/>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6Char">
    <w:name w:val="标题 6 Char"/>
    <w:qFormat/>
    <w:rPr>
      <w:rFonts w:ascii="Arial" w:eastAsia="黑体" w:hAnsi="Arial" w:cs="Times New Roman"/>
      <w:b/>
      <w:bCs/>
      <w:sz w:val="24"/>
      <w:szCs w:val="24"/>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bCs/>
      <w:sz w:val="28"/>
      <w:szCs w:val="28"/>
    </w:rPr>
  </w:style>
  <w:style w:type="character" w:customStyle="1" w:styleId="3Char">
    <w:name w:val="标题 3 Char"/>
    <w:qFormat/>
    <w:rPr>
      <w:rFonts w:ascii="Times New Roman" w:eastAsia="宋体" w:hAnsi="Times New Roman" w:cs="Times New Roman"/>
      <w:b/>
      <w:bCs/>
      <w:sz w:val="32"/>
      <w:szCs w:val="32"/>
    </w:rPr>
  </w:style>
  <w:style w:type="character" w:customStyle="1" w:styleId="2Char">
    <w:name w:val="标题 2 Char"/>
    <w:qFormat/>
    <w:rPr>
      <w:rFonts w:ascii="Arial" w:eastAsia="黑体" w:hAnsi="Arial"/>
      <w:b/>
      <w:bCs/>
      <w:kern w:val="2"/>
      <w:sz w:val="32"/>
      <w:szCs w:val="32"/>
      <w:lang w:val="zh-CN" w:eastAsia="zh-CN"/>
    </w:rPr>
  </w:style>
  <w:style w:type="character" w:customStyle="1" w:styleId="1Char">
    <w:name w:val="标题 1 Char"/>
    <w:qFormat/>
    <w:rPr>
      <w:rFonts w:ascii="Times New Roman" w:hAnsi="Times New Roman"/>
      <w:b/>
      <w:bCs/>
      <w:kern w:val="44"/>
      <w:sz w:val="44"/>
      <w:szCs w:val="44"/>
    </w:rPr>
  </w:style>
  <w:style w:type="paragraph" w:customStyle="1" w:styleId="Style78">
    <w:name w:val="_Style 78"/>
    <w:basedOn w:val="a0"/>
    <w:next w:val="a0"/>
    <w:uiPriority w:val="39"/>
    <w:qFormat/>
    <w:pPr>
      <w:tabs>
        <w:tab w:val="left" w:pos="1680"/>
        <w:tab w:val="right" w:leader="dot" w:pos="8296"/>
      </w:tabs>
      <w:spacing w:line="480" w:lineRule="exact"/>
    </w:pPr>
    <w:rPr>
      <w:sz w:val="24"/>
    </w:rPr>
  </w:style>
  <w:style w:type="character" w:customStyle="1" w:styleId="13">
    <w:name w:val="未处理的提及1"/>
    <w:uiPriority w:val="99"/>
    <w:unhideWhenUsed/>
    <w:qFormat/>
    <w:rPr>
      <w:color w:val="808080"/>
      <w:shd w:val="clear" w:color="auto" w:fill="E6E6E6"/>
    </w:rPr>
  </w:style>
  <w:style w:type="character" w:customStyle="1" w:styleId="NormalJustified858D7CFB-ED40-4347-BF05-701D383B685F">
    <w:name w:val="Normal (Justified)[858D7CFB-ED40-4347-BF05-701D383B685F]"/>
    <w:link w:val="NormalJustified"/>
    <w:qFormat/>
    <w:locked/>
    <w:rPr>
      <w:rFonts w:ascii="Times New Roman" w:hAnsi="Times New Roman"/>
      <w:kern w:val="28"/>
      <w:sz w:val="24"/>
    </w:rPr>
  </w:style>
  <w:style w:type="character" w:customStyle="1" w:styleId="14">
    <w:name w:val="批注文字 字符1"/>
    <w:qFormat/>
    <w:rPr>
      <w:rFonts w:ascii="CG Times (W1)" w:eastAsia="MingLiU" w:hAnsi="CG Times (W1)" w:cs="Times New Roman"/>
      <w:kern w:val="0"/>
      <w:sz w:val="24"/>
      <w:szCs w:val="20"/>
      <w:lang w:eastAsia="zh-TW"/>
    </w:rPr>
  </w:style>
  <w:style w:type="paragraph" w:customStyle="1" w:styleId="21">
    <w:name w:val="列表2"/>
    <w:basedOn w:val="a0"/>
    <w:next w:val="ac"/>
    <w:qFormat/>
    <w:pPr>
      <w:spacing w:line="360" w:lineRule="auto"/>
    </w:pPr>
    <w:rPr>
      <w:rFonts w:ascii="宋体"/>
      <w:szCs w:val="20"/>
    </w:rPr>
  </w:style>
  <w:style w:type="character" w:customStyle="1" w:styleId="Char3">
    <w:name w:val="标题 Char"/>
    <w:basedOn w:val="a1"/>
    <w:link w:val="ac"/>
    <w:uiPriority w:val="10"/>
    <w:qFormat/>
    <w:rPr>
      <w:rFonts w:asciiTheme="majorHAnsi" w:eastAsiaTheme="majorEastAsia" w:hAnsiTheme="majorHAnsi" w:cstheme="majorBidi"/>
      <w:b/>
      <w:bCs/>
      <w:kern w:val="2"/>
      <w:sz w:val="32"/>
      <w:szCs w:val="32"/>
    </w:rPr>
  </w:style>
  <w:style w:type="paragraph" w:customStyle="1" w:styleId="ql-indent-1">
    <w:name w:val="ql-indent-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 New"/>
    <w:basedOn w:val="a0"/>
    <w:qFormat/>
    <w:pPr>
      <w:spacing w:after="120"/>
    </w:pPr>
  </w:style>
  <w:style w:type="character" w:customStyle="1" w:styleId="Char">
    <w:name w:val="正文文本 Char"/>
    <w:basedOn w:val="a1"/>
    <w:link w:val="a6"/>
    <w:uiPriority w:val="99"/>
    <w:semiHidden/>
    <w:qFormat/>
    <w:rPr>
      <w:rFonts w:ascii="Times New Roman" w:hAnsi="Times New Roman"/>
      <w:kern w:val="2"/>
      <w:sz w:val="21"/>
      <w:szCs w:val="24"/>
    </w:rPr>
  </w:style>
  <w:style w:type="paragraph" w:customStyle="1" w:styleId="ql-long-31272776">
    <w:name w:val="ql-long-31272776"/>
    <w:basedOn w:val="a0"/>
    <w:qFormat/>
    <w:pPr>
      <w:widowControl/>
      <w:spacing w:before="100" w:beforeAutospacing="1" w:after="100" w:afterAutospacing="1"/>
      <w:jc w:val="left"/>
    </w:pPr>
    <w:rPr>
      <w:rFonts w:ascii="宋体" w:hAnsi="宋体" w:cs="宋体"/>
      <w:kern w:val="0"/>
      <w:sz w:val="24"/>
    </w:rPr>
  </w:style>
  <w:style w:type="character" w:customStyle="1" w:styleId="ql-author-31272776">
    <w:name w:val="ql-author-31272776"/>
    <w:basedOn w:val="a1"/>
    <w:qFormat/>
  </w:style>
  <w:style w:type="paragraph" w:customStyle="1" w:styleId="110">
    <w:name w:val="列表段落11"/>
    <w:basedOn w:val="a0"/>
    <w:qFormat/>
    <w:pPr>
      <w:ind w:firstLineChars="200" w:firstLine="420"/>
    </w:pPr>
  </w:style>
  <w:style w:type="paragraph" w:customStyle="1" w:styleId="22">
    <w:name w:val="列表段落2"/>
    <w:basedOn w:val="a0"/>
    <w:qFormat/>
    <w:pPr>
      <w:ind w:firstLineChars="200" w:firstLine="420"/>
    </w:pPr>
  </w:style>
  <w:style w:type="character" w:customStyle="1" w:styleId="23">
    <w:name w:val="批注文字 字符2"/>
    <w:qFormat/>
    <w:rPr>
      <w:rFonts w:ascii="CG Times (W1)" w:eastAsia="MingLiU" w:hAnsi="CG Times (W1)"/>
      <w:sz w:val="24"/>
      <w:lang w:val="zh-CN" w:eastAsia="zh-TW"/>
    </w:rPr>
  </w:style>
  <w:style w:type="paragraph" w:customStyle="1" w:styleId="24">
    <w:name w:val="修订2"/>
    <w:hidden/>
    <w:uiPriority w:val="99"/>
    <w:semiHidden/>
    <w:qFormat/>
    <w:rPr>
      <w:kern w:val="2"/>
      <w:sz w:val="21"/>
      <w:szCs w:val="24"/>
    </w:rPr>
  </w:style>
  <w:style w:type="character" w:customStyle="1" w:styleId="25">
    <w:name w:val="未处理的提及2"/>
    <w:basedOn w:val="a1"/>
    <w:uiPriority w:val="99"/>
    <w:unhideWhenUsed/>
    <w:qFormat/>
    <w:rPr>
      <w:color w:val="605E5C"/>
      <w:shd w:val="clear" w:color="auto" w:fill="E1DFDD"/>
    </w:rPr>
  </w:style>
  <w:style w:type="paragraph" w:customStyle="1" w:styleId="31">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tabs>
        <w:tab w:val="left" w:pos="2552"/>
      </w:tabs>
      <w:spacing w:before="340" w:after="330" w:line="578" w:lineRule="auto"/>
      <w:ind w:left="2552" w:hanging="425"/>
      <w:outlineLvl w:val="0"/>
    </w:pPr>
    <w:rPr>
      <w:b/>
      <w:bCs/>
      <w:kern w:val="44"/>
      <w:sz w:val="44"/>
      <w:szCs w:val="44"/>
    </w:rPr>
  </w:style>
  <w:style w:type="paragraph" w:styleId="2">
    <w:name w:val="heading 2"/>
    <w:basedOn w:val="a0"/>
    <w:next w:val="a0"/>
    <w:link w:val="2Char1"/>
    <w:qFormat/>
    <w:pPr>
      <w:keepNext/>
      <w:keepLines/>
      <w:tabs>
        <w:tab w:val="left" w:pos="2552"/>
        <w:tab w:val="left" w:pos="5387"/>
      </w:tabs>
      <w:spacing w:before="260" w:after="260" w:line="416" w:lineRule="auto"/>
      <w:ind w:left="5387" w:hanging="567"/>
      <w:outlineLvl w:val="1"/>
    </w:pPr>
    <w:rPr>
      <w:rFonts w:ascii="Arial" w:eastAsia="黑体" w:hAnsi="Arial"/>
      <w:b/>
      <w:bCs/>
      <w:sz w:val="32"/>
      <w:szCs w:val="32"/>
    </w:rPr>
  </w:style>
  <w:style w:type="paragraph" w:styleId="3">
    <w:name w:val="heading 3"/>
    <w:basedOn w:val="a0"/>
    <w:next w:val="a0"/>
    <w:link w:val="3Char1"/>
    <w:qFormat/>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0"/>
    <w:next w:val="a0"/>
    <w:link w:val="4Char1"/>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0"/>
    <w:next w:val="a0"/>
    <w:link w:val="5Char1"/>
    <w:qFormat/>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0"/>
    <w:next w:val="a0"/>
    <w:link w:val="6Char1"/>
    <w:qFormat/>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0"/>
    <w:next w:val="a0"/>
    <w:link w:val="7Char1"/>
    <w:qFormat/>
    <w:pPr>
      <w:keepNext/>
      <w:keepLines/>
      <w:tabs>
        <w:tab w:val="left" w:pos="1296"/>
      </w:tabs>
      <w:spacing w:before="240" w:after="64" w:line="320" w:lineRule="auto"/>
      <w:ind w:left="1296" w:hanging="1296"/>
      <w:outlineLvl w:val="6"/>
    </w:pPr>
    <w:rPr>
      <w:b/>
      <w:bCs/>
      <w:kern w:val="0"/>
      <w:sz w:val="24"/>
    </w:rPr>
  </w:style>
  <w:style w:type="paragraph" w:styleId="8">
    <w:name w:val="heading 8"/>
    <w:basedOn w:val="a0"/>
    <w:next w:val="a0"/>
    <w:link w:val="8Char1"/>
    <w:qFormat/>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0"/>
    <w:next w:val="a0"/>
    <w:link w:val="9Char1"/>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a4">
    <w:name w:val="Document Map"/>
    <w:basedOn w:val="a0"/>
    <w:link w:val="Char1"/>
    <w:uiPriority w:val="99"/>
    <w:unhideWhenUsed/>
    <w:qFormat/>
    <w:rPr>
      <w:rFonts w:ascii="宋体"/>
      <w:sz w:val="18"/>
      <w:szCs w:val="18"/>
    </w:rPr>
  </w:style>
  <w:style w:type="paragraph" w:styleId="a5">
    <w:name w:val="annotation text"/>
    <w:basedOn w:val="a0"/>
    <w:link w:val="Char10"/>
    <w:uiPriority w:val="99"/>
    <w:qFormat/>
    <w:pPr>
      <w:adjustRightInd w:val="0"/>
      <w:spacing w:line="360" w:lineRule="atLeast"/>
      <w:jc w:val="left"/>
      <w:textAlignment w:val="baseline"/>
    </w:pPr>
    <w:rPr>
      <w:rFonts w:ascii="CG Times (W1)" w:eastAsia="MingLiU" w:hAnsi="CG Times (W1)"/>
      <w:kern w:val="0"/>
      <w:sz w:val="24"/>
      <w:szCs w:val="20"/>
      <w:lang w:eastAsia="zh-TW"/>
    </w:rPr>
  </w:style>
  <w:style w:type="paragraph" w:styleId="a6">
    <w:name w:val="Body Text"/>
    <w:basedOn w:val="a0"/>
    <w:link w:val="Char"/>
    <w:uiPriority w:val="99"/>
    <w:unhideWhenUsed/>
    <w:qFormat/>
    <w:pPr>
      <w:spacing w:after="120"/>
    </w:pPr>
  </w:style>
  <w:style w:type="paragraph" w:styleId="a7">
    <w:name w:val="Body Text Indent"/>
    <w:basedOn w:val="a0"/>
    <w:link w:val="Char11"/>
    <w:qFormat/>
    <w:pPr>
      <w:spacing w:after="120"/>
      <w:ind w:leftChars="200" w:left="420"/>
    </w:pPr>
    <w:rPr>
      <w:kern w:val="0"/>
      <w:sz w:val="20"/>
    </w:rPr>
  </w:style>
  <w:style w:type="paragraph" w:styleId="50">
    <w:name w:val="toc 5"/>
    <w:basedOn w:val="a0"/>
    <w:next w:val="a0"/>
    <w:uiPriority w:val="39"/>
    <w:qFormat/>
    <w:pPr>
      <w:ind w:leftChars="800" w:left="1680"/>
    </w:pPr>
  </w:style>
  <w:style w:type="paragraph" w:styleId="30">
    <w:name w:val="toc 3"/>
    <w:basedOn w:val="a0"/>
    <w:next w:val="a0"/>
    <w:uiPriority w:val="39"/>
    <w:qFormat/>
    <w:pPr>
      <w:ind w:leftChars="400" w:left="840"/>
    </w:pPr>
  </w:style>
  <w:style w:type="paragraph" w:styleId="a8">
    <w:name w:val="Plain Text"/>
    <w:basedOn w:val="a0"/>
    <w:link w:val="Char0"/>
    <w:qFormat/>
    <w:rPr>
      <w:rFonts w:ascii="宋体" w:hAnsi="Courier New"/>
      <w:szCs w:val="21"/>
    </w:rPr>
  </w:style>
  <w:style w:type="paragraph" w:styleId="80">
    <w:name w:val="toc 8"/>
    <w:basedOn w:val="a0"/>
    <w:next w:val="a0"/>
    <w:uiPriority w:val="39"/>
    <w:qFormat/>
    <w:pPr>
      <w:ind w:leftChars="1400" w:left="2940"/>
    </w:pPr>
  </w:style>
  <w:style w:type="paragraph" w:styleId="a9">
    <w:name w:val="Balloon Text"/>
    <w:basedOn w:val="a0"/>
    <w:link w:val="Char12"/>
    <w:qFormat/>
    <w:rPr>
      <w:kern w:val="0"/>
      <w:sz w:val="18"/>
      <w:szCs w:val="18"/>
    </w:rPr>
  </w:style>
  <w:style w:type="paragraph" w:styleId="aa">
    <w:name w:val="footer"/>
    <w:basedOn w:val="a0"/>
    <w:link w:val="Char13"/>
    <w:qFormat/>
    <w:pPr>
      <w:tabs>
        <w:tab w:val="center" w:pos="4153"/>
        <w:tab w:val="right" w:pos="8306"/>
      </w:tabs>
      <w:snapToGrid w:val="0"/>
      <w:jc w:val="left"/>
    </w:pPr>
    <w:rPr>
      <w:kern w:val="0"/>
      <w:sz w:val="18"/>
      <w:szCs w:val="18"/>
    </w:rPr>
  </w:style>
  <w:style w:type="paragraph" w:styleId="ab">
    <w:name w:val="header"/>
    <w:basedOn w:val="a0"/>
    <w:link w:val="Char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left" w:pos="1680"/>
        <w:tab w:val="right" w:leader="dot" w:pos="8296"/>
      </w:tabs>
      <w:spacing w:line="480" w:lineRule="exact"/>
    </w:pPr>
    <w:rPr>
      <w:rFonts w:eastAsia="楷体_GB2312"/>
      <w:sz w:val="24"/>
    </w:rPr>
  </w:style>
  <w:style w:type="paragraph" w:styleId="40">
    <w:name w:val="toc 4"/>
    <w:basedOn w:val="a0"/>
    <w:next w:val="a0"/>
    <w:uiPriority w:val="39"/>
    <w:qFormat/>
    <w:pPr>
      <w:ind w:leftChars="600" w:left="1260"/>
    </w:pPr>
  </w:style>
  <w:style w:type="paragraph" w:styleId="60">
    <w:name w:val="toc 6"/>
    <w:basedOn w:val="a0"/>
    <w:next w:val="a0"/>
    <w:uiPriority w:val="39"/>
    <w:qFormat/>
    <w:pPr>
      <w:ind w:leftChars="1000" w:left="2100"/>
    </w:pPr>
  </w:style>
  <w:style w:type="paragraph" w:styleId="20">
    <w:name w:val="toc 2"/>
    <w:basedOn w:val="a0"/>
    <w:next w:val="a0"/>
    <w:uiPriority w:val="39"/>
    <w:qFormat/>
    <w:pPr>
      <w:tabs>
        <w:tab w:val="left" w:pos="1260"/>
        <w:tab w:val="right" w:leader="dot" w:pos="8296"/>
      </w:tabs>
      <w:spacing w:line="400" w:lineRule="exact"/>
      <w:ind w:leftChars="200" w:left="420"/>
    </w:pPr>
  </w:style>
  <w:style w:type="paragraph" w:styleId="90">
    <w:name w:val="toc 9"/>
    <w:basedOn w:val="a0"/>
    <w:next w:val="a0"/>
    <w:uiPriority w:val="39"/>
    <w:qFormat/>
    <w:pPr>
      <w:ind w:leftChars="1600" w:left="3360"/>
    </w:pPr>
  </w:style>
  <w:style w:type="paragraph" w:styleId="ac">
    <w:name w:val="Title"/>
    <w:basedOn w:val="a0"/>
    <w:next w:val="a0"/>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Char14"/>
    <w:qFormat/>
    <w:pPr>
      <w:adjustRightInd/>
      <w:spacing w:line="240" w:lineRule="auto"/>
      <w:textAlignment w:val="auto"/>
    </w:pPr>
    <w:rPr>
      <w:rFonts w:ascii="Times New Roman" w:eastAsia="宋体" w:hAnsi="Times New Roman"/>
      <w:b/>
      <w:bCs/>
      <w:szCs w:val="24"/>
    </w:rPr>
  </w:style>
  <w:style w:type="table" w:styleId="ae">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qFormat/>
    <w:rPr>
      <w:color w:val="800080"/>
      <w:u w:val="single"/>
    </w:rPr>
  </w:style>
  <w:style w:type="character" w:styleId="af1">
    <w:name w:val="Emphasis"/>
    <w:basedOn w:val="a1"/>
    <w:uiPriority w:val="20"/>
    <w:qFormat/>
    <w:rPr>
      <w:i/>
      <w:iCs/>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Char14">
    <w:name w:val="批注主题 Char1"/>
    <w:link w:val="ad"/>
    <w:semiHidden/>
    <w:qFormat/>
    <w:rPr>
      <w:rFonts w:ascii="Times New Roman" w:eastAsia="宋体" w:hAnsi="Times New Roman" w:cs="Times New Roman"/>
      <w:b/>
      <w:bCs/>
      <w:kern w:val="0"/>
      <w:sz w:val="24"/>
      <w:szCs w:val="24"/>
      <w:lang w:eastAsia="zh-TW"/>
    </w:rPr>
  </w:style>
  <w:style w:type="character" w:customStyle="1" w:styleId="Char10">
    <w:name w:val="批注文字 Char1"/>
    <w:link w:val="a5"/>
    <w:uiPriority w:val="99"/>
    <w:qFormat/>
    <w:rPr>
      <w:rFonts w:ascii="CG Times (W1)" w:eastAsia="MingLiU" w:hAnsi="CG Times (W1)" w:cs="Times New Roman"/>
      <w:kern w:val="0"/>
      <w:sz w:val="24"/>
      <w:szCs w:val="20"/>
      <w:lang w:eastAsia="zh-TW"/>
    </w:rPr>
  </w:style>
  <w:style w:type="character" w:customStyle="1" w:styleId="Char15">
    <w:name w:val="页眉 Char1"/>
    <w:qFormat/>
    <w:rPr>
      <w:rFonts w:ascii="仿宋_GB2312" w:eastAsia="仿宋_GB2312" w:hint="eastAsia"/>
      <w:sz w:val="18"/>
      <w:szCs w:val="18"/>
    </w:rPr>
  </w:style>
  <w:style w:type="character" w:customStyle="1" w:styleId="1Char1">
    <w:name w:val="标题 1 Char1"/>
    <w:link w:val="1"/>
    <w:qFormat/>
    <w:rPr>
      <w:b/>
      <w:bCs/>
      <w:kern w:val="44"/>
      <w:sz w:val="44"/>
      <w:szCs w:val="44"/>
    </w:rPr>
  </w:style>
  <w:style w:type="character" w:customStyle="1" w:styleId="7Char1">
    <w:name w:val="标题 7 Char1"/>
    <w:link w:val="7"/>
    <w:qFormat/>
    <w:rPr>
      <w:rFonts w:ascii="Times New Roman" w:hAnsi="Times New Roman"/>
      <w:b/>
      <w:bCs/>
      <w:sz w:val="24"/>
      <w:szCs w:val="24"/>
    </w:rPr>
  </w:style>
  <w:style w:type="character" w:customStyle="1" w:styleId="6Char1">
    <w:name w:val="标题 6 Char1"/>
    <w:link w:val="6"/>
    <w:qFormat/>
    <w:rPr>
      <w:rFonts w:ascii="Arial" w:eastAsia="黑体" w:hAnsi="Arial"/>
      <w:b/>
      <w:bCs/>
      <w:sz w:val="24"/>
      <w:szCs w:val="24"/>
    </w:rPr>
  </w:style>
  <w:style w:type="character" w:customStyle="1" w:styleId="5Char1">
    <w:name w:val="标题 5 Char1"/>
    <w:link w:val="5"/>
    <w:qFormat/>
    <w:rPr>
      <w:rFonts w:ascii="Times New Roman" w:hAnsi="Times New Roman"/>
      <w:b/>
      <w:bCs/>
      <w:sz w:val="28"/>
      <w:szCs w:val="28"/>
    </w:rPr>
  </w:style>
  <w:style w:type="character" w:customStyle="1" w:styleId="2Char1">
    <w:name w:val="标题 2 Char1"/>
    <w:link w:val="2"/>
    <w:qFormat/>
    <w:rPr>
      <w:rFonts w:ascii="Arial" w:eastAsia="黑体" w:hAnsi="Arial"/>
      <w:b/>
      <w:bCs/>
      <w:kern w:val="2"/>
      <w:sz w:val="32"/>
      <w:szCs w:val="32"/>
    </w:rPr>
  </w:style>
  <w:style w:type="character" w:customStyle="1" w:styleId="Char0">
    <w:name w:val="纯文本 Char"/>
    <w:link w:val="a8"/>
    <w:qFormat/>
    <w:rPr>
      <w:rFonts w:ascii="宋体" w:hAnsi="Courier New"/>
      <w:kern w:val="2"/>
      <w:sz w:val="21"/>
      <w:szCs w:val="21"/>
    </w:rPr>
  </w:style>
  <w:style w:type="character" w:customStyle="1" w:styleId="Char11">
    <w:name w:val="正文文本缩进 Char1"/>
    <w:link w:val="a7"/>
    <w:qFormat/>
    <w:rPr>
      <w:rFonts w:ascii="Times New Roman" w:hAnsi="Times New Roman"/>
      <w:szCs w:val="24"/>
    </w:rPr>
  </w:style>
  <w:style w:type="character" w:customStyle="1" w:styleId="9Char1">
    <w:name w:val="标题 9 Char1"/>
    <w:link w:val="9"/>
    <w:qFormat/>
    <w:rPr>
      <w:rFonts w:ascii="Arial" w:eastAsia="黑体" w:hAnsi="Arial"/>
      <w:szCs w:val="21"/>
    </w:rPr>
  </w:style>
  <w:style w:type="character" w:customStyle="1" w:styleId="Char1">
    <w:name w:val="文档结构图 Char1"/>
    <w:link w:val="a4"/>
    <w:uiPriority w:val="99"/>
    <w:qFormat/>
    <w:rPr>
      <w:rFonts w:ascii="宋体" w:hAnsi="Times New Roman"/>
      <w:kern w:val="2"/>
      <w:sz w:val="18"/>
      <w:szCs w:val="18"/>
    </w:rPr>
  </w:style>
  <w:style w:type="character" w:customStyle="1" w:styleId="Char2">
    <w:name w:val="页眉 Char2"/>
    <w:link w:val="ab"/>
    <w:qFormat/>
    <w:rPr>
      <w:rFonts w:ascii="Times New Roman" w:eastAsia="宋体" w:hAnsi="Times New Roman" w:cs="Times New Roman"/>
      <w:sz w:val="18"/>
      <w:szCs w:val="18"/>
    </w:rPr>
  </w:style>
  <w:style w:type="character" w:customStyle="1" w:styleId="8Char1">
    <w:name w:val="标题 8 Char1"/>
    <w:link w:val="8"/>
    <w:qFormat/>
    <w:rPr>
      <w:rFonts w:ascii="Arial" w:eastAsia="黑体" w:hAnsi="Arial"/>
      <w:sz w:val="24"/>
      <w:szCs w:val="24"/>
    </w:rPr>
  </w:style>
  <w:style w:type="character" w:customStyle="1" w:styleId="3Char1">
    <w:name w:val="标题 3 Char1"/>
    <w:link w:val="3"/>
    <w:qFormat/>
    <w:rPr>
      <w:rFonts w:ascii="Times New Roman" w:hAnsi="Times New Roman"/>
      <w:b/>
      <w:bCs/>
      <w:sz w:val="32"/>
      <w:szCs w:val="32"/>
    </w:rPr>
  </w:style>
  <w:style w:type="character" w:customStyle="1" w:styleId="Char12">
    <w:name w:val="批注框文本 Char1"/>
    <w:link w:val="a9"/>
    <w:semiHidden/>
    <w:qFormat/>
    <w:rPr>
      <w:rFonts w:ascii="Times New Roman" w:eastAsia="宋体" w:hAnsi="Times New Roman" w:cs="Times New Roman"/>
      <w:sz w:val="18"/>
      <w:szCs w:val="18"/>
    </w:rPr>
  </w:style>
  <w:style w:type="character" w:customStyle="1" w:styleId="Char13">
    <w:name w:val="页脚 Char1"/>
    <w:link w:val="aa"/>
    <w:uiPriority w:val="99"/>
    <w:qFormat/>
    <w:rPr>
      <w:rFonts w:ascii="Times New Roman" w:eastAsia="宋体" w:hAnsi="Times New Roman" w:cs="Times New Roman"/>
      <w:sz w:val="18"/>
      <w:szCs w:val="18"/>
    </w:rPr>
  </w:style>
  <w:style w:type="character" w:customStyle="1" w:styleId="4Char1">
    <w:name w:val="标题 4 Char1"/>
    <w:link w:val="4"/>
    <w:qFormat/>
    <w:rPr>
      <w:rFonts w:ascii="Arial" w:eastAsia="黑体" w:hAnsi="Arial"/>
      <w:b/>
      <w:bCs/>
      <w:sz w:val="28"/>
      <w:szCs w:val="28"/>
    </w:rPr>
  </w:style>
  <w:style w:type="paragraph" w:customStyle="1" w:styleId="11">
    <w:name w:val="列表段落1"/>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color w:val="336699"/>
      <w:kern w:val="0"/>
      <w:sz w:val="24"/>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12">
    <w:name w:val="修订1"/>
    <w:qFormat/>
    <w:rPr>
      <w:kern w:val="2"/>
      <w:sz w:val="21"/>
      <w:szCs w:val="24"/>
    </w:rPr>
  </w:style>
  <w:style w:type="paragraph" w:customStyle="1" w:styleId="NormalJustified">
    <w:name w:val="Normal (Justified)"/>
    <w:basedOn w:val="a0"/>
    <w:link w:val="NormalJustified858D7CFB-ED40-4347-BF05-701D383B685F"/>
    <w:qFormat/>
    <w:pPr>
      <w:widowControl/>
      <w:snapToGrid w:val="0"/>
    </w:pPr>
    <w:rPr>
      <w:kern w:val="28"/>
      <w:sz w:val="24"/>
      <w:szCs w:val="20"/>
    </w:rPr>
  </w:style>
  <w:style w:type="paragraph" w:customStyle="1" w:styleId="CharCharCharChar">
    <w:name w:val="字元 字元 Char Char Char Char"/>
    <w:basedOn w:val="a0"/>
    <w:qFormat/>
    <w:pPr>
      <w:widowControl/>
      <w:spacing w:after="160" w:line="240" w:lineRule="exact"/>
      <w:jc w:val="left"/>
    </w:pPr>
    <w:rPr>
      <w:rFonts w:ascii="Verdana" w:eastAsia="Times New Roman" w:hAnsi="Verdana"/>
      <w:kern w:val="0"/>
      <w:sz w:val="20"/>
      <w:szCs w:val="20"/>
      <w:lang w:eastAsia="en-US"/>
    </w:rPr>
  </w:style>
  <w:style w:type="paragraph" w:customStyle="1" w:styleId="a">
    <w:name w:val="二级"/>
    <w:basedOn w:val="a0"/>
    <w:qFormat/>
    <w:pPr>
      <w:numPr>
        <w:ilvl w:val="1"/>
        <w:numId w:val="2"/>
      </w:numPr>
      <w:spacing w:beforeLines="30" w:afterLines="20" w:line="510" w:lineRule="exact"/>
    </w:pPr>
    <w:rPr>
      <w:rFonts w:eastAsia="华文中宋"/>
      <w:b/>
      <w:snapToGrid w:val="0"/>
      <w:kern w:val="0"/>
      <w:sz w:val="24"/>
    </w:rPr>
  </w:style>
  <w:style w:type="paragraph" w:customStyle="1" w:styleId="-12">
    <w:name w:val="彩色列表 - 强调文字颜色 12"/>
    <w:basedOn w:val="a0"/>
    <w:qFormat/>
    <w:pPr>
      <w:ind w:firstLineChars="200" w:firstLine="420"/>
    </w:pPr>
    <w:rPr>
      <w:rFonts w:ascii="Calibri" w:hAnsi="Calibri"/>
      <w:szCs w:val="22"/>
    </w:rPr>
  </w:style>
  <w:style w:type="paragraph" w:customStyle="1" w:styleId="4CharCharCharChar">
    <w:name w:val="4 Char Char Char Char"/>
    <w:basedOn w:val="a0"/>
    <w:qFormat/>
    <w:rPr>
      <w:rFonts w:ascii="Tahoma" w:hAnsi="Tahoma"/>
      <w:sz w:val="24"/>
      <w:szCs w:val="20"/>
    </w:rPr>
  </w:style>
  <w:style w:type="paragraph" w:customStyle="1" w:styleId="CharCharCharChar0">
    <w:name w:val="Char Char Char Char"/>
    <w:basedOn w:val="a0"/>
    <w:qFormat/>
    <w:pPr>
      <w:widowControl/>
      <w:spacing w:after="160" w:line="240" w:lineRule="exact"/>
      <w:jc w:val="left"/>
    </w:pPr>
    <w:rPr>
      <w:rFonts w:ascii="Verdana" w:eastAsia="Times New Roman" w:hAnsi="Verdana"/>
      <w:kern w:val="0"/>
      <w:sz w:val="20"/>
      <w:szCs w:val="20"/>
      <w:lang w:eastAsia="en-US"/>
    </w:rPr>
  </w:style>
  <w:style w:type="character" w:customStyle="1" w:styleId="Char4">
    <w:name w:val="文档结构图 Char"/>
    <w:qFormat/>
    <w:rPr>
      <w:rFonts w:ascii="宋体" w:hAnsi="Times New Roman"/>
      <w:kern w:val="2"/>
      <w:sz w:val="18"/>
      <w:szCs w:val="18"/>
    </w:rPr>
  </w:style>
  <w:style w:type="character" w:customStyle="1" w:styleId="Char5">
    <w:name w:val="批注主题 Char"/>
    <w:qFormat/>
    <w:rPr>
      <w:rFonts w:ascii="Times New Roman" w:eastAsia="宋体" w:hAnsi="Times New Roman" w:cs="Times New Roman"/>
      <w:b/>
      <w:bCs/>
      <w:kern w:val="0"/>
      <w:sz w:val="24"/>
      <w:szCs w:val="24"/>
      <w:lang w:eastAsia="zh-TW"/>
    </w:rPr>
  </w:style>
  <w:style w:type="character" w:customStyle="1" w:styleId="Char6">
    <w:name w:val="批注框文本 Char"/>
    <w:qFormat/>
    <w:rPr>
      <w:rFonts w:ascii="Times New Roman" w:eastAsia="宋体" w:hAnsi="Times New Roman" w:cs="Times New Roman"/>
      <w:sz w:val="18"/>
      <w:szCs w:val="18"/>
    </w:rPr>
  </w:style>
  <w:style w:type="character" w:customStyle="1" w:styleId="Char7">
    <w:name w:val="批注文字 Char"/>
    <w:uiPriority w:val="99"/>
    <w:qFormat/>
    <w:rPr>
      <w:rFonts w:ascii="CG Times (W1)" w:eastAsia="MingLiU" w:hAnsi="CG Times (W1)" w:cs="Times New Roman"/>
      <w:kern w:val="0"/>
      <w:sz w:val="24"/>
      <w:szCs w:val="20"/>
      <w:lang w:eastAsia="zh-TW"/>
    </w:rPr>
  </w:style>
  <w:style w:type="character" w:customStyle="1" w:styleId="Char8">
    <w:name w:val="正文文本缩进 Char"/>
    <w:qFormat/>
    <w:rPr>
      <w:rFonts w:ascii="Times New Roman" w:eastAsia="宋体" w:hAnsi="Times New Roman" w:cs="Times New Roman"/>
      <w:szCs w:val="24"/>
    </w:rPr>
  </w:style>
  <w:style w:type="character" w:customStyle="1" w:styleId="Char9">
    <w:name w:val="页脚 Char"/>
    <w:qFormat/>
    <w:rPr>
      <w:rFonts w:ascii="Times New Roman" w:eastAsia="宋体" w:hAnsi="Times New Roman" w:cs="Times New Roman"/>
      <w:sz w:val="18"/>
      <w:szCs w:val="18"/>
    </w:rPr>
  </w:style>
  <w:style w:type="character" w:customStyle="1" w:styleId="Chara">
    <w:name w:val="页眉 Char"/>
    <w:qFormat/>
    <w:rPr>
      <w:rFonts w:ascii="Times New Roman" w:eastAsia="宋体" w:hAnsi="Times New Roman" w:cs="Times New Roman"/>
      <w:sz w:val="18"/>
      <w:szCs w:val="18"/>
    </w:rPr>
  </w:style>
  <w:style w:type="character" w:customStyle="1" w:styleId="9Char">
    <w:name w:val="标题 9 Char"/>
    <w:qFormat/>
    <w:rPr>
      <w:rFonts w:ascii="Arial" w:eastAsia="黑体" w:hAnsi="Arial" w:cs="Times New Roman"/>
      <w:szCs w:val="21"/>
    </w:rPr>
  </w:style>
  <w:style w:type="character" w:customStyle="1" w:styleId="8Char">
    <w:name w:val="标题 8 Char"/>
    <w:qFormat/>
    <w:rPr>
      <w:rFonts w:ascii="Arial" w:eastAsia="黑体" w:hAnsi="Arial" w:cs="Times New Roman"/>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6Char">
    <w:name w:val="标题 6 Char"/>
    <w:qFormat/>
    <w:rPr>
      <w:rFonts w:ascii="Arial" w:eastAsia="黑体" w:hAnsi="Arial" w:cs="Times New Roman"/>
      <w:b/>
      <w:bCs/>
      <w:sz w:val="24"/>
      <w:szCs w:val="24"/>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bCs/>
      <w:sz w:val="28"/>
      <w:szCs w:val="28"/>
    </w:rPr>
  </w:style>
  <w:style w:type="character" w:customStyle="1" w:styleId="3Char">
    <w:name w:val="标题 3 Char"/>
    <w:qFormat/>
    <w:rPr>
      <w:rFonts w:ascii="Times New Roman" w:eastAsia="宋体" w:hAnsi="Times New Roman" w:cs="Times New Roman"/>
      <w:b/>
      <w:bCs/>
      <w:sz w:val="32"/>
      <w:szCs w:val="32"/>
    </w:rPr>
  </w:style>
  <w:style w:type="character" w:customStyle="1" w:styleId="2Char">
    <w:name w:val="标题 2 Char"/>
    <w:qFormat/>
    <w:rPr>
      <w:rFonts w:ascii="Arial" w:eastAsia="黑体" w:hAnsi="Arial"/>
      <w:b/>
      <w:bCs/>
      <w:kern w:val="2"/>
      <w:sz w:val="32"/>
      <w:szCs w:val="32"/>
      <w:lang w:val="zh-CN" w:eastAsia="zh-CN"/>
    </w:rPr>
  </w:style>
  <w:style w:type="character" w:customStyle="1" w:styleId="1Char">
    <w:name w:val="标题 1 Char"/>
    <w:qFormat/>
    <w:rPr>
      <w:rFonts w:ascii="Times New Roman" w:hAnsi="Times New Roman"/>
      <w:b/>
      <w:bCs/>
      <w:kern w:val="44"/>
      <w:sz w:val="44"/>
      <w:szCs w:val="44"/>
    </w:rPr>
  </w:style>
  <w:style w:type="paragraph" w:customStyle="1" w:styleId="Style78">
    <w:name w:val="_Style 78"/>
    <w:basedOn w:val="a0"/>
    <w:next w:val="a0"/>
    <w:uiPriority w:val="39"/>
    <w:qFormat/>
    <w:pPr>
      <w:tabs>
        <w:tab w:val="left" w:pos="1680"/>
        <w:tab w:val="right" w:leader="dot" w:pos="8296"/>
      </w:tabs>
      <w:spacing w:line="480" w:lineRule="exact"/>
    </w:pPr>
    <w:rPr>
      <w:sz w:val="24"/>
    </w:rPr>
  </w:style>
  <w:style w:type="character" w:customStyle="1" w:styleId="13">
    <w:name w:val="未处理的提及1"/>
    <w:uiPriority w:val="99"/>
    <w:unhideWhenUsed/>
    <w:qFormat/>
    <w:rPr>
      <w:color w:val="808080"/>
      <w:shd w:val="clear" w:color="auto" w:fill="E6E6E6"/>
    </w:rPr>
  </w:style>
  <w:style w:type="character" w:customStyle="1" w:styleId="NormalJustified858D7CFB-ED40-4347-BF05-701D383B685F">
    <w:name w:val="Normal (Justified)[858D7CFB-ED40-4347-BF05-701D383B685F]"/>
    <w:link w:val="NormalJustified"/>
    <w:qFormat/>
    <w:locked/>
    <w:rPr>
      <w:rFonts w:ascii="Times New Roman" w:hAnsi="Times New Roman"/>
      <w:kern w:val="28"/>
      <w:sz w:val="24"/>
    </w:rPr>
  </w:style>
  <w:style w:type="character" w:customStyle="1" w:styleId="14">
    <w:name w:val="批注文字 字符1"/>
    <w:qFormat/>
    <w:rPr>
      <w:rFonts w:ascii="CG Times (W1)" w:eastAsia="MingLiU" w:hAnsi="CG Times (W1)" w:cs="Times New Roman"/>
      <w:kern w:val="0"/>
      <w:sz w:val="24"/>
      <w:szCs w:val="20"/>
      <w:lang w:eastAsia="zh-TW"/>
    </w:rPr>
  </w:style>
  <w:style w:type="paragraph" w:customStyle="1" w:styleId="21">
    <w:name w:val="列表2"/>
    <w:basedOn w:val="a0"/>
    <w:next w:val="ac"/>
    <w:qFormat/>
    <w:pPr>
      <w:spacing w:line="360" w:lineRule="auto"/>
    </w:pPr>
    <w:rPr>
      <w:rFonts w:ascii="宋体"/>
      <w:szCs w:val="20"/>
    </w:rPr>
  </w:style>
  <w:style w:type="character" w:customStyle="1" w:styleId="Char3">
    <w:name w:val="标题 Char"/>
    <w:basedOn w:val="a1"/>
    <w:link w:val="ac"/>
    <w:uiPriority w:val="10"/>
    <w:qFormat/>
    <w:rPr>
      <w:rFonts w:asciiTheme="majorHAnsi" w:eastAsiaTheme="majorEastAsia" w:hAnsiTheme="majorHAnsi" w:cstheme="majorBidi"/>
      <w:b/>
      <w:bCs/>
      <w:kern w:val="2"/>
      <w:sz w:val="32"/>
      <w:szCs w:val="32"/>
    </w:rPr>
  </w:style>
  <w:style w:type="paragraph" w:customStyle="1" w:styleId="ql-indent-1">
    <w:name w:val="ql-indent-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 New"/>
    <w:basedOn w:val="a0"/>
    <w:qFormat/>
    <w:pPr>
      <w:spacing w:after="120"/>
    </w:pPr>
  </w:style>
  <w:style w:type="character" w:customStyle="1" w:styleId="Char">
    <w:name w:val="正文文本 Char"/>
    <w:basedOn w:val="a1"/>
    <w:link w:val="a6"/>
    <w:uiPriority w:val="99"/>
    <w:semiHidden/>
    <w:qFormat/>
    <w:rPr>
      <w:rFonts w:ascii="Times New Roman" w:hAnsi="Times New Roman"/>
      <w:kern w:val="2"/>
      <w:sz w:val="21"/>
      <w:szCs w:val="24"/>
    </w:rPr>
  </w:style>
  <w:style w:type="paragraph" w:customStyle="1" w:styleId="ql-long-31272776">
    <w:name w:val="ql-long-31272776"/>
    <w:basedOn w:val="a0"/>
    <w:qFormat/>
    <w:pPr>
      <w:widowControl/>
      <w:spacing w:before="100" w:beforeAutospacing="1" w:after="100" w:afterAutospacing="1"/>
      <w:jc w:val="left"/>
    </w:pPr>
    <w:rPr>
      <w:rFonts w:ascii="宋体" w:hAnsi="宋体" w:cs="宋体"/>
      <w:kern w:val="0"/>
      <w:sz w:val="24"/>
    </w:rPr>
  </w:style>
  <w:style w:type="character" w:customStyle="1" w:styleId="ql-author-31272776">
    <w:name w:val="ql-author-31272776"/>
    <w:basedOn w:val="a1"/>
    <w:qFormat/>
  </w:style>
  <w:style w:type="paragraph" w:customStyle="1" w:styleId="110">
    <w:name w:val="列表段落11"/>
    <w:basedOn w:val="a0"/>
    <w:qFormat/>
    <w:pPr>
      <w:ind w:firstLineChars="200" w:firstLine="420"/>
    </w:pPr>
  </w:style>
  <w:style w:type="paragraph" w:customStyle="1" w:styleId="22">
    <w:name w:val="列表段落2"/>
    <w:basedOn w:val="a0"/>
    <w:qFormat/>
    <w:pPr>
      <w:ind w:firstLineChars="200" w:firstLine="420"/>
    </w:pPr>
  </w:style>
  <w:style w:type="character" w:customStyle="1" w:styleId="23">
    <w:name w:val="批注文字 字符2"/>
    <w:qFormat/>
    <w:rPr>
      <w:rFonts w:ascii="CG Times (W1)" w:eastAsia="MingLiU" w:hAnsi="CG Times (W1)"/>
      <w:sz w:val="24"/>
      <w:lang w:val="zh-CN" w:eastAsia="zh-TW"/>
    </w:rPr>
  </w:style>
  <w:style w:type="paragraph" w:customStyle="1" w:styleId="24">
    <w:name w:val="修订2"/>
    <w:hidden/>
    <w:uiPriority w:val="99"/>
    <w:semiHidden/>
    <w:qFormat/>
    <w:rPr>
      <w:kern w:val="2"/>
      <w:sz w:val="21"/>
      <w:szCs w:val="24"/>
    </w:rPr>
  </w:style>
  <w:style w:type="character" w:customStyle="1" w:styleId="25">
    <w:name w:val="未处理的提及2"/>
    <w:basedOn w:val="a1"/>
    <w:uiPriority w:val="99"/>
    <w:unhideWhenUsed/>
    <w:qFormat/>
    <w:rPr>
      <w:color w:val="605E5C"/>
      <w:shd w:val="clear" w:color="auto" w:fill="E1DFDD"/>
    </w:rPr>
  </w:style>
  <w:style w:type="paragraph" w:customStyle="1" w:styleId="31">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hinatax.gov.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chinatax.gov.cn"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hinatax.gov.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E3A70AB91890D46A73FAFCBB47A6B9D" ma:contentTypeVersion="2" ma:contentTypeDescription="新建文档。" ma:contentTypeScope="" ma:versionID="12e88fb0ca6a056818bb8e6a88993d40">
  <xsd:schema xmlns:xsd="http://www.w3.org/2001/XMLSchema" xmlns:xs="http://www.w3.org/2001/XMLSchema" xmlns:p="http://schemas.microsoft.com/office/2006/metadata/properties" xmlns:ns2="2bdfb376-4bd0-484e-818d-68cca59e6c8e" targetNamespace="http://schemas.microsoft.com/office/2006/metadata/properties" ma:root="true" ma:fieldsID="5ea6eb9cf81f1b2e52fe02dd409b27b9" ns2:_="">
    <xsd:import namespace="2bdfb376-4bd0-484e-818d-68cca59e6c8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fb376-4bd0-484e-818d-68cca59e6c8e"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EDE7E0F-FA35-4C7A-977A-06E79CF6F342}">
  <ds:schemaRefs>
    <ds:schemaRef ds:uri="http://schemas.microsoft.com/sharepoint/v3/contenttype/forms"/>
  </ds:schemaRefs>
</ds:datastoreItem>
</file>

<file path=customXml/itemProps2.xml><?xml version="1.0" encoding="utf-8"?>
<ds:datastoreItem xmlns:ds="http://schemas.openxmlformats.org/officeDocument/2006/customXml" ds:itemID="{1CE1A861-DA83-40FB-8C86-3B566146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fb376-4bd0-484e-818d-68cca59e6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CD1E0-5596-41C4-8A00-43B75441B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8318</Words>
  <Characters>47416</Characters>
  <Application>Microsoft Office Word</Application>
  <DocSecurity>0</DocSecurity>
  <Lines>395</Lines>
  <Paragraphs>111</Paragraphs>
  <ScaleCrop>false</ScaleCrop>
  <Company>Lenovo</Company>
  <LinksUpToDate>false</LinksUpToDate>
  <CharactersWithSpaces>55623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五矿信托</dc:creator>
  <cp:lastModifiedBy>李文静</cp:lastModifiedBy>
  <cp:revision>6</cp:revision>
  <cp:lastPrinted>2020-05-29T04:04:00Z</cp:lastPrinted>
  <dcterms:created xsi:type="dcterms:W3CDTF">2021-12-22T11:27:00Z</dcterms:created>
  <dcterms:modified xsi:type="dcterms:W3CDTF">2022-06-30T00:39:00Z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ntentTypeId">
    <vt:lpwstr>0x0101008E3A70AB91890D46A73FAFCBB47A6B9D</vt:lpwstr>
  </property>
  <property fmtid="{D5CDD505-2E9C-101B-9397-08002B2CF9AE}" pid="4" name="ICV">
    <vt:lpwstr>A27FFD768C1F4D9C96E28A0485AA39DF</vt:lpwstr>
  </property>
</Properties>
</file>