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D90C06" w:rsidRPr="00D90C0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D90C06" w:rsidRPr="00D90C0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D90C06" w:rsidRPr="00D90C0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封闭式理财19年第341期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D90C06" w:rsidP="00D90C0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D90C06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D90C06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D90C06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封闭式理财19年第341期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D90C06">
        <w:rPr>
          <w:rFonts w:asciiTheme="minorEastAsia" w:eastAsiaTheme="minorEastAsia" w:hAnsiTheme="minorEastAsia"/>
          <w:color w:val="000000"/>
          <w:sz w:val="28"/>
          <w:szCs w:val="28"/>
        </w:rPr>
        <w:t>165650000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D90C06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308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D90C06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0C06">
              <w:rPr>
                <w:rFonts w:asciiTheme="minorEastAsia" w:eastAsiaTheme="minorEastAsia" w:hAnsiTheme="minorEastAsia"/>
                <w:color w:val="000000"/>
                <w:szCs w:val="21"/>
              </w:rPr>
              <w:t>4.28%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（年化）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D90C06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90C06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D90C06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D90C06">
              <w:rPr>
                <w:rFonts w:asciiTheme="minorEastAsia" w:eastAsiaTheme="minorEastAsia" w:hAnsiTheme="minorEastAsia" w:hint="eastAsia"/>
                <w:szCs w:val="21"/>
              </w:rPr>
              <w:t>封闭式理财19年第341期</w:t>
            </w:r>
          </w:p>
        </w:tc>
        <w:tc>
          <w:tcPr>
            <w:tcW w:w="1418" w:type="dxa"/>
            <w:vAlign w:val="center"/>
          </w:tcPr>
          <w:p w:rsidR="00E31B0A" w:rsidRPr="00D90C06" w:rsidRDefault="00D90C06" w:rsidP="00D90C0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90C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2019年8月1日</w:t>
            </w:r>
          </w:p>
        </w:tc>
        <w:tc>
          <w:tcPr>
            <w:tcW w:w="1417" w:type="dxa"/>
            <w:vAlign w:val="center"/>
          </w:tcPr>
          <w:p w:rsidR="00E31B0A" w:rsidRPr="00D90C06" w:rsidRDefault="00D90C06" w:rsidP="00D90C0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90C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2019年8月7日</w:t>
            </w:r>
          </w:p>
        </w:tc>
        <w:tc>
          <w:tcPr>
            <w:tcW w:w="1418" w:type="dxa"/>
            <w:vAlign w:val="center"/>
          </w:tcPr>
          <w:p w:rsidR="00E31B0A" w:rsidRPr="00D90C06" w:rsidRDefault="00D90C06" w:rsidP="00D90C0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90C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2019年8月8日</w:t>
            </w:r>
          </w:p>
        </w:tc>
        <w:tc>
          <w:tcPr>
            <w:tcW w:w="1326" w:type="dxa"/>
            <w:vAlign w:val="center"/>
          </w:tcPr>
          <w:p w:rsidR="00E31B0A" w:rsidRPr="00D90C06" w:rsidRDefault="00D90C06" w:rsidP="00D90C0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90C0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2020年6月11日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D90C06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4116.32</w:t>
            </w:r>
          </w:p>
        </w:tc>
        <w:tc>
          <w:tcPr>
            <w:tcW w:w="1843" w:type="dxa"/>
            <w:vAlign w:val="center"/>
          </w:tcPr>
          <w:p w:rsidR="005204A8" w:rsidRDefault="00D90C0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24.5</w:t>
            </w:r>
          </w:p>
        </w:tc>
        <w:tc>
          <w:tcPr>
            <w:tcW w:w="1418" w:type="dxa"/>
            <w:vAlign w:val="center"/>
          </w:tcPr>
          <w:p w:rsidR="005204A8" w:rsidRDefault="00D90C0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4116.32</w:t>
            </w:r>
          </w:p>
        </w:tc>
        <w:tc>
          <w:tcPr>
            <w:tcW w:w="1842" w:type="dxa"/>
          </w:tcPr>
          <w:p w:rsidR="005204A8" w:rsidRDefault="00D90C0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24.5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D90C06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3499.23</w:t>
            </w:r>
          </w:p>
        </w:tc>
        <w:tc>
          <w:tcPr>
            <w:tcW w:w="1843" w:type="dxa"/>
            <w:vAlign w:val="center"/>
          </w:tcPr>
          <w:p w:rsidR="005204A8" w:rsidRDefault="00D90C0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20.83</w:t>
            </w:r>
          </w:p>
        </w:tc>
        <w:tc>
          <w:tcPr>
            <w:tcW w:w="1418" w:type="dxa"/>
            <w:vAlign w:val="center"/>
          </w:tcPr>
          <w:p w:rsidR="005204A8" w:rsidRDefault="00D90C0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3499.23</w:t>
            </w:r>
          </w:p>
        </w:tc>
        <w:tc>
          <w:tcPr>
            <w:tcW w:w="1842" w:type="dxa"/>
          </w:tcPr>
          <w:p w:rsidR="005204A8" w:rsidRDefault="00D90C0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20.83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D90C06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2183.34</w:t>
            </w:r>
          </w:p>
        </w:tc>
        <w:tc>
          <w:tcPr>
            <w:tcW w:w="1843" w:type="dxa"/>
            <w:vAlign w:val="center"/>
          </w:tcPr>
          <w:p w:rsidR="005204A8" w:rsidRDefault="00D90C0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13.00</w:t>
            </w:r>
          </w:p>
        </w:tc>
        <w:tc>
          <w:tcPr>
            <w:tcW w:w="1418" w:type="dxa"/>
            <w:vAlign w:val="center"/>
          </w:tcPr>
          <w:p w:rsidR="005204A8" w:rsidRDefault="00D90C0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2183.34</w:t>
            </w:r>
          </w:p>
        </w:tc>
        <w:tc>
          <w:tcPr>
            <w:tcW w:w="1842" w:type="dxa"/>
          </w:tcPr>
          <w:p w:rsidR="005204A8" w:rsidRDefault="00D90C0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13.00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D90C0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7000</w:t>
            </w:r>
          </w:p>
        </w:tc>
        <w:tc>
          <w:tcPr>
            <w:tcW w:w="1842" w:type="dxa"/>
          </w:tcPr>
          <w:p w:rsidR="005204A8" w:rsidRDefault="00D90C0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41.67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D90C06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7000</w:t>
            </w:r>
          </w:p>
        </w:tc>
        <w:tc>
          <w:tcPr>
            <w:tcW w:w="1843" w:type="dxa"/>
            <w:vAlign w:val="center"/>
          </w:tcPr>
          <w:p w:rsidR="005204A8" w:rsidRDefault="00D90C0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41.67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D90C06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16798.89</w:t>
            </w:r>
          </w:p>
        </w:tc>
        <w:tc>
          <w:tcPr>
            <w:tcW w:w="1843" w:type="dxa"/>
            <w:vAlign w:val="center"/>
          </w:tcPr>
          <w:p w:rsidR="005204A8" w:rsidRDefault="00D90C0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D90C0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16798.89</w:t>
            </w:r>
          </w:p>
        </w:tc>
        <w:tc>
          <w:tcPr>
            <w:tcW w:w="1842" w:type="dxa"/>
          </w:tcPr>
          <w:p w:rsidR="005204A8" w:rsidRDefault="00D90C0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2A024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A0240">
              <w:rPr>
                <w:rFonts w:asciiTheme="minorEastAsia" w:eastAsiaTheme="minorEastAsia" w:hAnsiTheme="minorEastAsia" w:hint="eastAsia"/>
              </w:rPr>
              <w:t>15</w:t>
            </w:r>
            <w:proofErr w:type="gramStart"/>
            <w:r w:rsidRPr="002A0240">
              <w:rPr>
                <w:rFonts w:asciiTheme="minorEastAsia" w:eastAsiaTheme="minorEastAsia" w:hAnsiTheme="minorEastAsia" w:hint="eastAsia"/>
              </w:rPr>
              <w:t>湘株国</w:t>
            </w:r>
            <w:proofErr w:type="gramEnd"/>
            <w:r w:rsidRPr="002A0240">
              <w:rPr>
                <w:rFonts w:asciiTheme="minorEastAsia" w:eastAsiaTheme="minorEastAsia" w:hAnsiTheme="minorEastAsia" w:hint="eastAsia"/>
              </w:rPr>
              <w:t>投AB001</w:t>
            </w:r>
          </w:p>
        </w:tc>
        <w:tc>
          <w:tcPr>
            <w:tcW w:w="1841" w:type="dxa"/>
          </w:tcPr>
          <w:p w:rsidR="005204A8" w:rsidRPr="00C720CE" w:rsidRDefault="002A024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A0240">
              <w:rPr>
                <w:rFonts w:asciiTheme="minorEastAsia" w:eastAsiaTheme="minorEastAsia" w:hAnsiTheme="minorEastAsia"/>
              </w:rPr>
              <w:t>70000000</w:t>
            </w:r>
            <w:r>
              <w:rPr>
                <w:rFonts w:asciiTheme="minorEastAsia" w:eastAsiaTheme="minorEastAsia" w:hAnsiTheme="minorEastAsia" w:hint="eastAsia"/>
              </w:rPr>
              <w:t>.00</w:t>
            </w:r>
          </w:p>
        </w:tc>
        <w:tc>
          <w:tcPr>
            <w:tcW w:w="1859" w:type="dxa"/>
          </w:tcPr>
          <w:p w:rsidR="005204A8" w:rsidRPr="00C720CE" w:rsidRDefault="002A024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41.67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2A024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2A024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A0240">
              <w:rPr>
                <w:rFonts w:asciiTheme="minorEastAsia" w:eastAsiaTheme="minorEastAsia" w:hAnsiTheme="minorEastAsia"/>
              </w:rPr>
              <w:t>41163191.1</w:t>
            </w:r>
          </w:p>
        </w:tc>
        <w:tc>
          <w:tcPr>
            <w:tcW w:w="1859" w:type="dxa"/>
          </w:tcPr>
          <w:p w:rsidR="005204A8" w:rsidRPr="00C720CE" w:rsidRDefault="002A024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24.5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2A024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A0240">
              <w:rPr>
                <w:rFonts w:asciiTheme="minorEastAsia" w:eastAsiaTheme="minorEastAsia" w:hAnsiTheme="minorEastAsia" w:hint="eastAsia"/>
              </w:rPr>
              <w:t>19</w:t>
            </w:r>
            <w:proofErr w:type="gramStart"/>
            <w:r w:rsidRPr="002A0240">
              <w:rPr>
                <w:rFonts w:asciiTheme="minorEastAsia" w:eastAsiaTheme="minorEastAsia" w:hAnsiTheme="minorEastAsia" w:hint="eastAsia"/>
              </w:rPr>
              <w:t>湘粮债</w:t>
            </w:r>
            <w:proofErr w:type="gramEnd"/>
          </w:p>
        </w:tc>
        <w:tc>
          <w:tcPr>
            <w:tcW w:w="1841" w:type="dxa"/>
          </w:tcPr>
          <w:p w:rsidR="005204A8" w:rsidRPr="00C720CE" w:rsidRDefault="002A024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A0240">
              <w:rPr>
                <w:rFonts w:asciiTheme="minorEastAsia" w:eastAsiaTheme="minorEastAsia" w:hAnsiTheme="minorEastAsia"/>
              </w:rPr>
              <w:t>34992282.49</w:t>
            </w:r>
          </w:p>
        </w:tc>
        <w:tc>
          <w:tcPr>
            <w:tcW w:w="1859" w:type="dxa"/>
          </w:tcPr>
          <w:p w:rsidR="005204A8" w:rsidRPr="00C720CE" w:rsidRDefault="002A024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20.83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2A024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A0240">
              <w:rPr>
                <w:rFonts w:asciiTheme="minorEastAsia" w:eastAsiaTheme="minorEastAsia" w:hAnsiTheme="minorEastAsia" w:hint="eastAsia"/>
              </w:rPr>
              <w:t>17吉首华泰AB001</w:t>
            </w:r>
          </w:p>
        </w:tc>
        <w:tc>
          <w:tcPr>
            <w:tcW w:w="1841" w:type="dxa"/>
          </w:tcPr>
          <w:p w:rsidR="005204A8" w:rsidRPr="00C720CE" w:rsidRDefault="002A024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A0240">
              <w:rPr>
                <w:rFonts w:asciiTheme="minorEastAsia" w:eastAsiaTheme="minorEastAsia" w:hAnsiTheme="minorEastAsia"/>
              </w:rPr>
              <w:t>21833361.51</w:t>
            </w:r>
          </w:p>
        </w:tc>
        <w:tc>
          <w:tcPr>
            <w:tcW w:w="1859" w:type="dxa"/>
          </w:tcPr>
          <w:p w:rsidR="005204A8" w:rsidRPr="00C720CE" w:rsidRDefault="002A024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13.00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2A0240">
              <w:rPr>
                <w:rFonts w:ascii="宋体" w:hAnsi="宋体" w:cs="宋体" w:hint="eastAsia"/>
                <w:kern w:val="0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D90C06" w:rsidP="005204A8">
      <w:pPr>
        <w:jc w:val="center"/>
        <w:rPr>
          <w:b/>
          <w:color w:val="000000"/>
          <w:sz w:val="24"/>
          <w:szCs w:val="24"/>
        </w:rPr>
      </w:pPr>
      <w:r w:rsidRPr="00D90C06">
        <w:rPr>
          <w:rFonts w:hint="eastAsia"/>
          <w:b/>
          <w:color w:val="000000"/>
          <w:sz w:val="24"/>
          <w:szCs w:val="24"/>
        </w:rPr>
        <w:t>乾元</w:t>
      </w:r>
      <w:r w:rsidRPr="00D90C06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D90C06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D90C06">
        <w:rPr>
          <w:rFonts w:hint="eastAsia"/>
          <w:b/>
          <w:color w:val="000000"/>
          <w:sz w:val="24"/>
          <w:szCs w:val="24"/>
        </w:rPr>
        <w:t>封闭式理财</w:t>
      </w:r>
      <w:r w:rsidRPr="00D90C06">
        <w:rPr>
          <w:rFonts w:hint="eastAsia"/>
          <w:b/>
          <w:color w:val="000000"/>
          <w:sz w:val="24"/>
          <w:szCs w:val="24"/>
        </w:rPr>
        <w:t>19</w:t>
      </w:r>
      <w:r w:rsidRPr="00D90C06">
        <w:rPr>
          <w:rFonts w:hint="eastAsia"/>
          <w:b/>
          <w:color w:val="000000"/>
          <w:sz w:val="24"/>
          <w:szCs w:val="24"/>
        </w:rPr>
        <w:t>年第</w:t>
      </w:r>
      <w:r w:rsidRPr="00D90C06">
        <w:rPr>
          <w:rFonts w:hint="eastAsia"/>
          <w:b/>
          <w:color w:val="000000"/>
          <w:sz w:val="24"/>
          <w:szCs w:val="24"/>
        </w:rPr>
        <w:t>341</w:t>
      </w:r>
      <w:r w:rsidRPr="00D90C06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D90C06" w:rsidRPr="00D90C06">
        <w:rPr>
          <w:rFonts w:ascii="宋体" w:hAnsi="宋体" w:hint="eastAsia"/>
          <w:color w:val="000000"/>
          <w:szCs w:val="21"/>
        </w:rPr>
        <w:t>乾元-</w:t>
      </w:r>
      <w:proofErr w:type="gramStart"/>
      <w:r w:rsidR="00D90C06" w:rsidRPr="00D90C06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D90C06" w:rsidRPr="00D90C06">
        <w:rPr>
          <w:rFonts w:ascii="宋体" w:hAnsi="宋体" w:hint="eastAsia"/>
          <w:color w:val="000000"/>
          <w:szCs w:val="21"/>
        </w:rPr>
        <w:t>封闭式理财19年第</w:t>
      </w:r>
      <w:r w:rsidR="00D90C06">
        <w:rPr>
          <w:rFonts w:ascii="宋体" w:hAnsi="宋体" w:hint="eastAsia"/>
          <w:color w:val="000000"/>
          <w:szCs w:val="21"/>
        </w:rPr>
        <w:t>341</w:t>
      </w:r>
      <w:r w:rsidR="00D90C06" w:rsidRPr="00D90C06">
        <w:rPr>
          <w:rFonts w:ascii="宋体" w:hAnsi="宋体" w:hint="eastAsia"/>
          <w:color w:val="000000"/>
          <w:szCs w:val="21"/>
        </w:rPr>
        <w:t>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095"/>
        <w:gridCol w:w="3259"/>
        <w:gridCol w:w="1483"/>
        <w:gridCol w:w="845"/>
        <w:gridCol w:w="840"/>
      </w:tblGrid>
      <w:tr w:rsidR="005204A8" w:rsidTr="00D7250D">
        <w:trPr>
          <w:trHeight w:val="765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D7250D" w:rsidTr="00D7250D">
        <w:trPr>
          <w:trHeight w:val="240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250D" w:rsidRPr="00154261" w:rsidRDefault="00D7250D" w:rsidP="00DA696A">
            <w:pPr>
              <w:rPr>
                <w:rFonts w:hint="eastAsia"/>
              </w:rPr>
            </w:pPr>
            <w:bookmarkStart w:id="0" w:name="_GoBack" w:colFirst="4" w:colLast="4"/>
            <w:r w:rsidRPr="00154261">
              <w:rPr>
                <w:rFonts w:hint="eastAsia"/>
              </w:rPr>
              <w:t>私募基金</w:t>
            </w:r>
          </w:p>
        </w:tc>
        <w:tc>
          <w:tcPr>
            <w:tcW w:w="1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250D" w:rsidRPr="00165946" w:rsidRDefault="00D7250D" w:rsidP="00F021B3">
            <w:pPr>
              <w:rPr>
                <w:rFonts w:hint="eastAsia"/>
              </w:rPr>
            </w:pPr>
            <w:r w:rsidRPr="00165946">
              <w:rPr>
                <w:rFonts w:hint="eastAsia"/>
              </w:rPr>
              <w:t>株洲市国有资产投资控股集团有限公司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50D" w:rsidRPr="002410B4" w:rsidRDefault="00D7250D" w:rsidP="00E62A8E">
            <w:pPr>
              <w:rPr>
                <w:rFonts w:hint="eastAsia"/>
              </w:rPr>
            </w:pPr>
            <w:r w:rsidRPr="002410B4">
              <w:rPr>
                <w:rFonts w:hint="eastAsia"/>
              </w:rPr>
              <w:t>15</w:t>
            </w:r>
            <w:proofErr w:type="gramStart"/>
            <w:r w:rsidRPr="002410B4">
              <w:rPr>
                <w:rFonts w:hint="eastAsia"/>
              </w:rPr>
              <w:t>湘株国</w:t>
            </w:r>
            <w:proofErr w:type="gramEnd"/>
            <w:r w:rsidRPr="002410B4">
              <w:rPr>
                <w:rFonts w:hint="eastAsia"/>
              </w:rPr>
              <w:t>投</w:t>
            </w:r>
            <w:r w:rsidRPr="002410B4">
              <w:rPr>
                <w:rFonts w:hint="eastAsia"/>
              </w:rPr>
              <w:t>AB001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250D" w:rsidRPr="00E24ADF" w:rsidRDefault="00D7250D" w:rsidP="009757E7">
            <w:r w:rsidRPr="00E24ADF">
              <w:t xml:space="preserve">322 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50D" w:rsidRPr="007A7BC4" w:rsidRDefault="00D7250D" w:rsidP="00D17B0B">
            <w:pPr>
              <w:jc w:val="left"/>
              <w:rPr>
                <w:rFonts w:hint="eastAsia"/>
              </w:rPr>
            </w:pPr>
            <w:r w:rsidRPr="007A7BC4">
              <w:rPr>
                <w:rFonts w:hint="eastAsia"/>
              </w:rPr>
              <w:t>正常类</w:t>
            </w:r>
          </w:p>
        </w:tc>
      </w:tr>
      <w:tr w:rsidR="00D7250D" w:rsidTr="00D7250D">
        <w:trPr>
          <w:trHeight w:val="240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250D" w:rsidRDefault="00D7250D" w:rsidP="00DA696A">
            <w:r w:rsidRPr="00154261">
              <w:rPr>
                <w:rFonts w:hint="eastAsia"/>
              </w:rPr>
              <w:t>非标准化债权类资产</w:t>
            </w:r>
          </w:p>
        </w:tc>
        <w:tc>
          <w:tcPr>
            <w:tcW w:w="1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250D" w:rsidRDefault="00D7250D" w:rsidP="00F021B3">
            <w:r w:rsidRPr="00165946">
              <w:rPr>
                <w:rFonts w:hint="eastAsia"/>
              </w:rPr>
              <w:t>吉首华泰国有资产投资管理有限责任公司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50D" w:rsidRDefault="00D7250D" w:rsidP="00E62A8E">
            <w:r w:rsidRPr="002410B4">
              <w:rPr>
                <w:rFonts w:hint="eastAsia"/>
              </w:rPr>
              <w:t>17</w:t>
            </w:r>
            <w:r w:rsidRPr="002410B4">
              <w:rPr>
                <w:rFonts w:hint="eastAsia"/>
              </w:rPr>
              <w:t>吉首华泰</w:t>
            </w:r>
            <w:r w:rsidRPr="002410B4">
              <w:rPr>
                <w:rFonts w:hint="eastAsia"/>
              </w:rPr>
              <w:t>AB001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7250D" w:rsidRDefault="00D7250D" w:rsidP="009757E7">
            <w:r w:rsidRPr="00E24ADF">
              <w:t xml:space="preserve">90 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50D" w:rsidRDefault="00D7250D" w:rsidP="00D17B0B">
            <w:pPr>
              <w:jc w:val="left"/>
            </w:pPr>
            <w:r w:rsidRPr="007A7BC4">
              <w:rPr>
                <w:rFonts w:hint="eastAsia"/>
              </w:rPr>
              <w:t>正常类</w:t>
            </w:r>
          </w:p>
        </w:tc>
      </w:tr>
    </w:tbl>
    <w:bookmarkEnd w:id="0"/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62B" w:rsidRDefault="00A9762B" w:rsidP="00747E15">
      <w:r>
        <w:separator/>
      </w:r>
    </w:p>
  </w:endnote>
  <w:endnote w:type="continuationSeparator" w:id="0">
    <w:p w:rsidR="00A9762B" w:rsidRDefault="00A9762B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62B" w:rsidRDefault="00A9762B" w:rsidP="00747E15">
      <w:r>
        <w:separator/>
      </w:r>
    </w:p>
  </w:footnote>
  <w:footnote w:type="continuationSeparator" w:id="0">
    <w:p w:rsidR="00A9762B" w:rsidRDefault="00A9762B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46822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240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29E1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43C3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9762B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17B0B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7250D"/>
    <w:rsid w:val="00D8745B"/>
    <w:rsid w:val="00D90C06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290</Words>
  <Characters>1654</Characters>
  <Application>Microsoft Office Word</Application>
  <DocSecurity>0</DocSecurity>
  <Lines>13</Lines>
  <Paragraphs>3</Paragraphs>
  <ScaleCrop>false</ScaleCrop>
  <Company>微软中国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5</cp:revision>
  <cp:lastPrinted>2019-01-03T08:39:00Z</cp:lastPrinted>
  <dcterms:created xsi:type="dcterms:W3CDTF">2020-03-20T02:52:00Z</dcterms:created>
  <dcterms:modified xsi:type="dcterms:W3CDTF">2020-03-24T01:50:00Z</dcterms:modified>
</cp:coreProperties>
</file>