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C346BB" w:rsidRPr="00C346B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C346BB" w:rsidRPr="00C346B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C346BB" w:rsidRPr="00C346B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封闭式理财19年第356期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3350A1">
        <w:rPr>
          <w:rFonts w:asciiTheme="minorEastAsia" w:eastAsiaTheme="minorEastAsia" w:hAnsiTheme="minorEastAsia" w:hint="eastAsia"/>
          <w:b/>
          <w:sz w:val="32"/>
          <w:szCs w:val="32"/>
        </w:rPr>
        <w:t>季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3350A1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3350A1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C346BB" w:rsidP="00C346B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346BB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C346BB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C346BB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封闭式理财19年第356期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C346BB">
        <w:rPr>
          <w:rFonts w:asciiTheme="minorEastAsia" w:eastAsiaTheme="minorEastAsia" w:hAnsiTheme="minorEastAsia"/>
          <w:color w:val="000000"/>
          <w:sz w:val="28"/>
          <w:szCs w:val="28"/>
        </w:rPr>
        <w:t>8230000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C346B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364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C346B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346BB">
              <w:rPr>
                <w:rFonts w:asciiTheme="minorEastAsia" w:eastAsiaTheme="minorEastAsia" w:hAnsiTheme="minorEastAsia"/>
                <w:color w:val="000000"/>
                <w:szCs w:val="21"/>
              </w:rPr>
              <w:t>3.85%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C346BB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6BB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C346BB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C346BB">
              <w:rPr>
                <w:rFonts w:asciiTheme="minorEastAsia" w:eastAsiaTheme="minorEastAsia" w:hAnsiTheme="minorEastAsia" w:hint="eastAsia"/>
                <w:szCs w:val="21"/>
              </w:rPr>
              <w:t>封闭式理财19年第356期</w:t>
            </w:r>
          </w:p>
        </w:tc>
        <w:tc>
          <w:tcPr>
            <w:tcW w:w="1418" w:type="dxa"/>
            <w:vAlign w:val="center"/>
          </w:tcPr>
          <w:p w:rsidR="00E31B0A" w:rsidRPr="00C346BB" w:rsidRDefault="00C346BB" w:rsidP="00C346B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346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2019年8月29日</w:t>
            </w:r>
          </w:p>
        </w:tc>
        <w:tc>
          <w:tcPr>
            <w:tcW w:w="1417" w:type="dxa"/>
            <w:vAlign w:val="center"/>
          </w:tcPr>
          <w:p w:rsidR="00E31B0A" w:rsidRPr="00C346BB" w:rsidRDefault="00C346BB" w:rsidP="00C346B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346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2019年9月4日</w:t>
            </w:r>
          </w:p>
        </w:tc>
        <w:tc>
          <w:tcPr>
            <w:tcW w:w="1418" w:type="dxa"/>
            <w:vAlign w:val="center"/>
          </w:tcPr>
          <w:p w:rsidR="00E31B0A" w:rsidRPr="00C346BB" w:rsidRDefault="00C346BB" w:rsidP="00C346B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346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2019年9月5日</w:t>
            </w:r>
          </w:p>
        </w:tc>
        <w:tc>
          <w:tcPr>
            <w:tcW w:w="1326" w:type="dxa"/>
            <w:vAlign w:val="center"/>
          </w:tcPr>
          <w:p w:rsidR="00E31B0A" w:rsidRPr="00C346BB" w:rsidRDefault="00C346BB" w:rsidP="00C346B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346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2020年9月3日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C346B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7.94</w:t>
            </w:r>
          </w:p>
        </w:tc>
        <w:tc>
          <w:tcPr>
            <w:tcW w:w="1662" w:type="dxa"/>
            <w:vAlign w:val="center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0.96</w:t>
            </w:r>
          </w:p>
        </w:tc>
        <w:tc>
          <w:tcPr>
            <w:tcW w:w="1599" w:type="dxa"/>
            <w:vAlign w:val="center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7.94</w:t>
            </w:r>
          </w:p>
        </w:tc>
        <w:tc>
          <w:tcPr>
            <w:tcW w:w="1842" w:type="dxa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0.96</w:t>
            </w: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C346B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213.44</w:t>
            </w:r>
          </w:p>
        </w:tc>
        <w:tc>
          <w:tcPr>
            <w:tcW w:w="1662" w:type="dxa"/>
            <w:vAlign w:val="center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25.88</w:t>
            </w:r>
          </w:p>
        </w:tc>
        <w:tc>
          <w:tcPr>
            <w:tcW w:w="1599" w:type="dxa"/>
            <w:vAlign w:val="center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213.44</w:t>
            </w:r>
          </w:p>
        </w:tc>
        <w:tc>
          <w:tcPr>
            <w:tcW w:w="1842" w:type="dxa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25.88</w:t>
            </w: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C346B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603.42</w:t>
            </w:r>
          </w:p>
        </w:tc>
        <w:tc>
          <w:tcPr>
            <w:tcW w:w="1662" w:type="dxa"/>
            <w:vAlign w:val="center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73.16</w:t>
            </w:r>
          </w:p>
        </w:tc>
        <w:tc>
          <w:tcPr>
            <w:tcW w:w="1599" w:type="dxa"/>
            <w:vAlign w:val="center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603.42</w:t>
            </w:r>
          </w:p>
        </w:tc>
        <w:tc>
          <w:tcPr>
            <w:tcW w:w="1842" w:type="dxa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73.16</w:t>
            </w: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C346B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824.8</w:t>
            </w:r>
          </w:p>
        </w:tc>
        <w:tc>
          <w:tcPr>
            <w:tcW w:w="1662" w:type="dxa"/>
            <w:vAlign w:val="center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824.8</w:t>
            </w:r>
          </w:p>
        </w:tc>
        <w:tc>
          <w:tcPr>
            <w:tcW w:w="1842" w:type="dxa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346BB">
              <w:rPr>
                <w:rFonts w:asciiTheme="minorEastAsia" w:eastAsiaTheme="minorEastAsia" w:hAnsiTheme="minorEastAsia" w:hint="eastAsia"/>
              </w:rPr>
              <w:t>17常德江北AB001</w:t>
            </w:r>
          </w:p>
        </w:tc>
        <w:tc>
          <w:tcPr>
            <w:tcW w:w="1841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346BB">
              <w:rPr>
                <w:rFonts w:asciiTheme="minorEastAsia" w:eastAsiaTheme="minorEastAsia" w:hAnsiTheme="minorEastAsia"/>
              </w:rPr>
              <w:t>5649754.8</w:t>
            </w:r>
          </w:p>
        </w:tc>
        <w:tc>
          <w:tcPr>
            <w:tcW w:w="1859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68.49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346BB">
              <w:rPr>
                <w:rFonts w:asciiTheme="minorEastAsia" w:eastAsiaTheme="minorEastAsia" w:hAnsiTheme="minorEastAsia" w:hint="eastAsia"/>
              </w:rPr>
              <w:t>19湘建工MTN001</w:t>
            </w:r>
          </w:p>
        </w:tc>
        <w:tc>
          <w:tcPr>
            <w:tcW w:w="1841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346BB">
              <w:rPr>
                <w:rFonts w:asciiTheme="minorEastAsia" w:eastAsiaTheme="minorEastAsia" w:hAnsiTheme="minorEastAsia"/>
              </w:rPr>
              <w:t>2134372.46</w:t>
            </w:r>
          </w:p>
        </w:tc>
        <w:tc>
          <w:tcPr>
            <w:tcW w:w="1859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25.88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346BB">
              <w:rPr>
                <w:rFonts w:asciiTheme="minorEastAsia" w:eastAsiaTheme="minorEastAsia" w:hAnsiTheme="minorEastAsia" w:hint="eastAsia"/>
              </w:rPr>
              <w:t>17吉首华泰AB001</w:t>
            </w:r>
          </w:p>
        </w:tc>
        <w:tc>
          <w:tcPr>
            <w:tcW w:w="1841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346BB">
              <w:rPr>
                <w:rFonts w:asciiTheme="minorEastAsia" w:eastAsiaTheme="minorEastAsia" w:hAnsiTheme="minorEastAsia"/>
              </w:rPr>
              <w:t>384506.37</w:t>
            </w:r>
          </w:p>
        </w:tc>
        <w:tc>
          <w:tcPr>
            <w:tcW w:w="1859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4.67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346BB">
              <w:rPr>
                <w:rFonts w:asciiTheme="minorEastAsia" w:eastAsiaTheme="minorEastAsia" w:hAnsiTheme="minorEastAsia"/>
              </w:rPr>
              <w:t>79370.14</w:t>
            </w:r>
          </w:p>
        </w:tc>
        <w:tc>
          <w:tcPr>
            <w:tcW w:w="1859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0.96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Pr="005E5562" w:rsidRDefault="003350A1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C346BB">
              <w:rPr>
                <w:rFonts w:ascii="宋体" w:hAnsi="宋体" w:cs="宋体" w:hint="eastAsia"/>
                <w:kern w:val="0"/>
              </w:rPr>
              <w:t>1031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3350A1"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C346BB" w:rsidP="005204A8">
      <w:pPr>
        <w:jc w:val="center"/>
        <w:rPr>
          <w:b/>
          <w:color w:val="000000"/>
          <w:sz w:val="24"/>
          <w:szCs w:val="24"/>
        </w:rPr>
      </w:pPr>
      <w:r w:rsidRPr="00C346BB">
        <w:rPr>
          <w:rFonts w:hint="eastAsia"/>
          <w:b/>
          <w:color w:val="000000"/>
          <w:sz w:val="24"/>
          <w:szCs w:val="24"/>
        </w:rPr>
        <w:t>乾元</w:t>
      </w:r>
      <w:r w:rsidRPr="00C346BB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C346BB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C346BB">
        <w:rPr>
          <w:rFonts w:hint="eastAsia"/>
          <w:b/>
          <w:color w:val="000000"/>
          <w:sz w:val="24"/>
          <w:szCs w:val="24"/>
        </w:rPr>
        <w:t>封闭式理财</w:t>
      </w:r>
      <w:r w:rsidRPr="00C346BB">
        <w:rPr>
          <w:rFonts w:hint="eastAsia"/>
          <w:b/>
          <w:color w:val="000000"/>
          <w:sz w:val="24"/>
          <w:szCs w:val="24"/>
        </w:rPr>
        <w:t>19</w:t>
      </w:r>
      <w:r w:rsidRPr="00C346BB">
        <w:rPr>
          <w:rFonts w:hint="eastAsia"/>
          <w:b/>
          <w:color w:val="000000"/>
          <w:sz w:val="24"/>
          <w:szCs w:val="24"/>
        </w:rPr>
        <w:t>年第</w:t>
      </w:r>
      <w:r w:rsidRPr="00C346BB">
        <w:rPr>
          <w:rFonts w:hint="eastAsia"/>
          <w:b/>
          <w:color w:val="000000"/>
          <w:sz w:val="24"/>
          <w:szCs w:val="24"/>
        </w:rPr>
        <w:t>356</w:t>
      </w:r>
      <w:r w:rsidRPr="00C346BB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3350A1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350A1">
        <w:rPr>
          <w:rFonts w:ascii="宋体" w:hAnsi="宋体" w:hint="eastAsia"/>
          <w:color w:val="000000"/>
          <w:szCs w:val="21"/>
        </w:rPr>
        <w:t>3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C346BB" w:rsidRPr="00C346BB">
        <w:rPr>
          <w:rFonts w:ascii="宋体" w:hAnsi="宋体" w:hint="eastAsia"/>
          <w:color w:val="000000"/>
          <w:szCs w:val="21"/>
        </w:rPr>
        <w:t>乾元-</w:t>
      </w:r>
      <w:proofErr w:type="gramStart"/>
      <w:r w:rsidR="00C346BB" w:rsidRPr="00C346BB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C346BB" w:rsidRPr="00C346BB">
        <w:rPr>
          <w:rFonts w:ascii="宋体" w:hAnsi="宋体" w:hint="eastAsia"/>
          <w:color w:val="000000"/>
          <w:szCs w:val="21"/>
        </w:rPr>
        <w:t>封闭式理财19年第356期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96"/>
        <w:gridCol w:w="3543"/>
        <w:gridCol w:w="1198"/>
        <w:gridCol w:w="845"/>
        <w:gridCol w:w="840"/>
      </w:tblGrid>
      <w:tr w:rsidR="005204A8" w:rsidTr="009E22B3">
        <w:trPr>
          <w:trHeight w:val="765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3C635A" w:rsidTr="009E22B3">
        <w:trPr>
          <w:trHeight w:val="240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C635A" w:rsidRPr="006C1DAF" w:rsidRDefault="003C635A" w:rsidP="00457DD8">
            <w:r w:rsidRPr="006C1DAF">
              <w:rPr>
                <w:rFonts w:hint="eastAsia"/>
              </w:rPr>
              <w:t>非标准化债权类资产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C635A" w:rsidRPr="00CA1959" w:rsidRDefault="003C635A" w:rsidP="00AB0B61">
            <w:r w:rsidRPr="00CA1959">
              <w:rPr>
                <w:rFonts w:hint="eastAsia"/>
              </w:rPr>
              <w:t>常德</w:t>
            </w:r>
            <w:proofErr w:type="gramStart"/>
            <w:r w:rsidRPr="00CA1959">
              <w:rPr>
                <w:rFonts w:hint="eastAsia"/>
              </w:rPr>
              <w:t>江北投资</w:t>
            </w:r>
            <w:proofErr w:type="gramEnd"/>
            <w:r w:rsidRPr="00CA1959">
              <w:rPr>
                <w:rFonts w:hint="eastAsia"/>
              </w:rPr>
              <w:t>建设集团有限公司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5A" w:rsidRPr="00712516" w:rsidRDefault="003C635A" w:rsidP="00833C49">
            <w:r w:rsidRPr="00712516">
              <w:rPr>
                <w:rFonts w:hint="eastAsia"/>
              </w:rPr>
              <w:t>17</w:t>
            </w:r>
            <w:r w:rsidRPr="00712516">
              <w:rPr>
                <w:rFonts w:hint="eastAsia"/>
              </w:rPr>
              <w:t>常德江北</w:t>
            </w:r>
            <w:r w:rsidRPr="00712516">
              <w:rPr>
                <w:rFonts w:hint="eastAsia"/>
              </w:rPr>
              <w:t>AB001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C635A" w:rsidRPr="000513F0" w:rsidRDefault="003C635A" w:rsidP="00A2209E">
            <w:r w:rsidRPr="000513F0">
              <w:t xml:space="preserve">2618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5A" w:rsidRPr="00907097" w:rsidRDefault="003C635A" w:rsidP="00283D36">
            <w:r w:rsidRPr="00907097">
              <w:rPr>
                <w:rFonts w:hint="eastAsia"/>
              </w:rPr>
              <w:t>正常类</w:t>
            </w:r>
          </w:p>
        </w:tc>
      </w:tr>
      <w:tr w:rsidR="003C635A" w:rsidTr="009E22B3">
        <w:trPr>
          <w:trHeight w:val="240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C635A" w:rsidRDefault="003C635A" w:rsidP="00457DD8">
            <w:r w:rsidRPr="006C1DAF">
              <w:rPr>
                <w:rFonts w:hint="eastAsia"/>
              </w:rPr>
              <w:t>非标准化债权类资产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C635A" w:rsidRDefault="003C635A" w:rsidP="00AB0B61">
            <w:r w:rsidRPr="00CA1959">
              <w:rPr>
                <w:rFonts w:hint="eastAsia"/>
              </w:rPr>
              <w:t>吉首华泰国有资产投资管理有限责任公司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5A" w:rsidRDefault="003C635A" w:rsidP="00833C49">
            <w:r w:rsidRPr="00712516">
              <w:rPr>
                <w:rFonts w:hint="eastAsia"/>
              </w:rPr>
              <w:t>17</w:t>
            </w:r>
            <w:r w:rsidRPr="00712516">
              <w:rPr>
                <w:rFonts w:hint="eastAsia"/>
              </w:rPr>
              <w:t>吉首华泰</w:t>
            </w:r>
            <w:r w:rsidRPr="00712516">
              <w:rPr>
                <w:rFonts w:hint="eastAsia"/>
              </w:rPr>
              <w:t>AB001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C635A" w:rsidRDefault="003C635A" w:rsidP="00A2209E">
            <w:r w:rsidRPr="000513F0">
              <w:t xml:space="preserve">90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5A" w:rsidRDefault="003C635A" w:rsidP="00283D36">
            <w:r w:rsidRPr="00907097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B4" w:rsidRDefault="00833AB4" w:rsidP="00747E15">
      <w:r>
        <w:separator/>
      </w:r>
    </w:p>
  </w:endnote>
  <w:endnote w:type="continuationSeparator" w:id="0">
    <w:p w:rsidR="00833AB4" w:rsidRDefault="00833AB4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B4" w:rsidRDefault="00833AB4" w:rsidP="00747E15">
      <w:r>
        <w:separator/>
      </w:r>
    </w:p>
  </w:footnote>
  <w:footnote w:type="continuationSeparator" w:id="0">
    <w:p w:rsidR="00833AB4" w:rsidRDefault="00833AB4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C4C15"/>
    <w:rsid w:val="002D029C"/>
    <w:rsid w:val="002F02E2"/>
    <w:rsid w:val="002F21B2"/>
    <w:rsid w:val="00305DE3"/>
    <w:rsid w:val="00326849"/>
    <w:rsid w:val="00332886"/>
    <w:rsid w:val="00333409"/>
    <w:rsid w:val="003350A1"/>
    <w:rsid w:val="003469B0"/>
    <w:rsid w:val="00346C2E"/>
    <w:rsid w:val="003729DF"/>
    <w:rsid w:val="00373677"/>
    <w:rsid w:val="0039500D"/>
    <w:rsid w:val="003B5CC6"/>
    <w:rsid w:val="003C635A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33AB4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2B3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25529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346BB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94509"/>
    <w:rsid w:val="00D967A8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E0F22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263</Words>
  <Characters>1504</Characters>
  <Application>Microsoft Office Word</Application>
  <DocSecurity>0</DocSecurity>
  <Lines>12</Lines>
  <Paragraphs>3</Paragraphs>
  <ScaleCrop>false</ScaleCrop>
  <Company>微软中国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5</cp:revision>
  <cp:lastPrinted>2019-01-03T08:39:00Z</cp:lastPrinted>
  <dcterms:created xsi:type="dcterms:W3CDTF">2020-03-20T09:03:00Z</dcterms:created>
  <dcterms:modified xsi:type="dcterms:W3CDTF">2020-03-31T07:12:00Z</dcterms:modified>
</cp:coreProperties>
</file>