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78" w:rsidRDefault="00DA5D3B" w:rsidP="00DD26B0">
      <w:pPr>
        <w:widowControl/>
        <w:jc w:val="center"/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E73778" w:rsidRPr="00E7377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E73778" w:rsidRPr="00E7377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E73778" w:rsidRPr="00E7377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开放式资产组合型理财产品半年度投资管理报告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B837A0" w:rsidRPr="00B837A0">
        <w:rPr>
          <w:rFonts w:asciiTheme="minorEastAsia" w:eastAsiaTheme="minorEastAsia" w:hAnsiTheme="minorEastAsia" w:hint="eastAsia"/>
          <w:color w:val="000000"/>
          <w:szCs w:val="21"/>
        </w:rPr>
        <w:t>2020年06月30日</w:t>
      </w:r>
    </w:p>
    <w:p w:rsidR="00E73778" w:rsidRDefault="00E73778" w:rsidP="00E73778">
      <w:pPr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E73778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E73778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E73778">
        <w:rPr>
          <w:rFonts w:asciiTheme="minorEastAsia" w:eastAsiaTheme="minorEastAsia" w:hAnsiTheme="minorEastAsia" w:hint="eastAsia"/>
          <w:color w:val="000000"/>
          <w:sz w:val="28"/>
          <w:szCs w:val="28"/>
        </w:rPr>
        <w:t>开放式资产组合型理财产品于2016年11月16日正式成立。截至报告日，本产品规模为4,432,261,239.14元，杠杆水平符合监管要求。</w:t>
      </w:r>
    </w:p>
    <w:p w:rsidR="00747E15" w:rsidRPr="00437C59" w:rsidRDefault="002F02E2" w:rsidP="00E7377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E73778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7377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30359天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2145CC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(年化)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E73778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73778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E73778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E73778">
              <w:rPr>
                <w:rFonts w:asciiTheme="minorEastAsia" w:eastAsiaTheme="minorEastAsia" w:hAnsiTheme="minorEastAsia" w:hint="eastAsia"/>
                <w:szCs w:val="21"/>
              </w:rPr>
              <w:t>开放式资产组合型理财产品</w:t>
            </w:r>
            <w:r w:rsidRPr="00E73778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E73778" w:rsidP="00E7377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7377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20161111</w:t>
            </w:r>
          </w:p>
        </w:tc>
        <w:tc>
          <w:tcPr>
            <w:tcW w:w="1417" w:type="dxa"/>
            <w:vAlign w:val="center"/>
          </w:tcPr>
          <w:p w:rsidR="00E31B0A" w:rsidRPr="00E31B0A" w:rsidRDefault="00E73778" w:rsidP="00E7377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7377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20161115</w:t>
            </w:r>
          </w:p>
        </w:tc>
        <w:tc>
          <w:tcPr>
            <w:tcW w:w="1418" w:type="dxa"/>
            <w:vAlign w:val="center"/>
          </w:tcPr>
          <w:p w:rsidR="00E31B0A" w:rsidRPr="00E31B0A" w:rsidRDefault="00E73778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7377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20161116</w:t>
            </w:r>
          </w:p>
        </w:tc>
        <w:tc>
          <w:tcPr>
            <w:tcW w:w="1326" w:type="dxa"/>
            <w:vAlign w:val="center"/>
          </w:tcPr>
          <w:p w:rsidR="00E31B0A" w:rsidRPr="00E31B0A" w:rsidRDefault="00E73778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7377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20991230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E7377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73778">
              <w:rPr>
                <w:rFonts w:ascii="宋体" w:hAnsi="宋体" w:cs="宋体"/>
                <w:kern w:val="0"/>
              </w:rPr>
              <w:t>389,879,351.45</w:t>
            </w:r>
            <w:r w:rsidRPr="00E7377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E7377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73778">
              <w:rPr>
                <w:rFonts w:ascii="宋体" w:hAnsi="宋体" w:cs="宋体"/>
                <w:kern w:val="0"/>
              </w:rPr>
              <w:t>8.86%</w:t>
            </w:r>
            <w:r w:rsidRPr="00E7377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E7377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73778">
              <w:rPr>
                <w:rFonts w:ascii="宋体" w:hAnsi="宋体" w:cs="宋体"/>
                <w:kern w:val="0"/>
              </w:rPr>
              <w:t>389,879,351.45</w:t>
            </w:r>
            <w:r w:rsidRPr="00E7377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E7377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73778">
              <w:rPr>
                <w:rFonts w:ascii="宋体" w:hAnsi="宋体" w:cs="宋体"/>
                <w:kern w:val="0"/>
              </w:rPr>
              <w:t>8.86%</w:t>
            </w:r>
            <w:r w:rsidRPr="00E73778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E7377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73778">
              <w:rPr>
                <w:rFonts w:ascii="宋体" w:hAnsi="宋体" w:cs="宋体"/>
                <w:kern w:val="0"/>
              </w:rPr>
              <w:t>3,734,239,781.69</w:t>
            </w:r>
            <w:r w:rsidRPr="00E7377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E7377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73778">
              <w:rPr>
                <w:rFonts w:ascii="宋体" w:hAnsi="宋体" w:cs="宋体"/>
                <w:kern w:val="0"/>
              </w:rPr>
              <w:t>84.90%</w:t>
            </w:r>
            <w:r w:rsidRPr="00E7377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E7377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73778">
              <w:rPr>
                <w:rFonts w:ascii="宋体" w:hAnsi="宋体" w:cs="宋体"/>
                <w:kern w:val="0"/>
              </w:rPr>
              <w:t>3,734,239,781.69</w:t>
            </w:r>
            <w:r w:rsidRPr="00E7377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E7377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73778">
              <w:rPr>
                <w:rFonts w:ascii="宋体" w:hAnsi="宋体" w:cs="宋体"/>
                <w:kern w:val="0"/>
              </w:rPr>
              <w:t>84.90%</w:t>
            </w:r>
            <w:r w:rsidRPr="00E73778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E7377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73778">
              <w:rPr>
                <w:rFonts w:ascii="宋体" w:hAnsi="宋体" w:cs="宋体"/>
                <w:kern w:val="0"/>
              </w:rPr>
              <w:t>262,156,197.02</w:t>
            </w:r>
            <w:r w:rsidRPr="00E7377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E7377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73778">
              <w:rPr>
                <w:rFonts w:ascii="宋体" w:hAnsi="宋体" w:cs="宋体"/>
                <w:kern w:val="0"/>
              </w:rPr>
              <w:t>5.96%</w:t>
            </w:r>
            <w:r w:rsidRPr="00E7377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E7377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73778">
              <w:rPr>
                <w:rFonts w:ascii="宋体" w:hAnsi="宋体" w:cs="宋体"/>
                <w:kern w:val="0"/>
              </w:rPr>
              <w:t>262,156,197.02</w:t>
            </w:r>
            <w:r w:rsidRPr="00E7377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E7377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73778">
              <w:rPr>
                <w:rFonts w:ascii="宋体" w:hAnsi="宋体" w:cs="宋体"/>
                <w:kern w:val="0"/>
              </w:rPr>
              <w:t>5.96%</w:t>
            </w:r>
            <w:r w:rsidRPr="00E73778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E7377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73778">
              <w:rPr>
                <w:rFonts w:ascii="宋体" w:hAnsi="宋体" w:cs="宋体"/>
                <w:kern w:val="0"/>
              </w:rPr>
              <w:t>191,137,903.98</w:t>
            </w:r>
            <w:r w:rsidRPr="00E7377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E7377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73778">
              <w:rPr>
                <w:rFonts w:ascii="宋体" w:hAnsi="宋体" w:cs="宋体"/>
                <w:kern w:val="0"/>
              </w:rPr>
              <w:t>4.35%</w:t>
            </w:r>
            <w:r w:rsidRPr="00E7377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E7377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73778">
              <w:rPr>
                <w:rFonts w:ascii="宋体" w:hAnsi="宋体" w:cs="宋体"/>
                <w:kern w:val="0"/>
              </w:rPr>
              <w:t>191,137,903.98</w:t>
            </w:r>
            <w:r w:rsidRPr="00E7377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E7377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73778">
              <w:rPr>
                <w:rFonts w:ascii="宋体" w:hAnsi="宋体" w:cs="宋体"/>
                <w:kern w:val="0"/>
              </w:rPr>
              <w:t>4.35%</w:t>
            </w:r>
            <w:r w:rsidRPr="00E73778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E7377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73778">
              <w:rPr>
                <w:rFonts w:ascii="宋体" w:hAnsi="宋体" w:cs="宋体"/>
                <w:kern w:val="0"/>
              </w:rPr>
              <w:t>1,397,197,829.42</w:t>
            </w:r>
            <w:r w:rsidRPr="00E7377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E7377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73778">
              <w:rPr>
                <w:rFonts w:ascii="宋体" w:hAnsi="宋体" w:cs="宋体"/>
                <w:kern w:val="0"/>
              </w:rPr>
              <w:t>31.76%</w:t>
            </w:r>
            <w:r w:rsidRPr="00E7377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E7377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73778">
              <w:rPr>
                <w:rFonts w:ascii="宋体" w:hAnsi="宋体" w:cs="宋体"/>
                <w:kern w:val="0"/>
              </w:rPr>
              <w:t>5,974,611,063.56</w:t>
            </w:r>
            <w:r w:rsidRPr="00E7377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E7377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73778">
              <w:rPr>
                <w:rFonts w:ascii="宋体" w:hAnsi="宋体" w:cs="宋体"/>
                <w:kern w:val="0"/>
              </w:rPr>
              <w:t>135.83%</w:t>
            </w:r>
            <w:r w:rsidRPr="00E7377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E7377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73778">
              <w:rPr>
                <w:rFonts w:ascii="宋体" w:hAnsi="宋体" w:cs="宋体"/>
                <w:kern w:val="0"/>
              </w:rPr>
              <w:t>4,577,413,234.14</w:t>
            </w:r>
          </w:p>
        </w:tc>
        <w:tc>
          <w:tcPr>
            <w:tcW w:w="1842" w:type="dxa"/>
          </w:tcPr>
          <w:p w:rsidR="005204A8" w:rsidRDefault="00E7377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73778">
              <w:rPr>
                <w:rFonts w:ascii="宋体" w:hAnsi="宋体" w:cs="宋体"/>
                <w:kern w:val="0"/>
              </w:rPr>
              <w:t>104.07%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E7377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E73778" w:rsidRPr="00C720CE" w:rsidRDefault="00E7377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E73778" w:rsidRPr="00E339C7" w:rsidRDefault="00E73778" w:rsidP="00A86880">
            <w:pPr>
              <w:rPr>
                <w:rFonts w:hint="eastAsia"/>
              </w:rPr>
            </w:pPr>
            <w:r w:rsidRPr="00E339C7">
              <w:rPr>
                <w:rFonts w:hint="eastAsia"/>
              </w:rPr>
              <w:t>20</w:t>
            </w:r>
            <w:r w:rsidRPr="00E339C7">
              <w:rPr>
                <w:rFonts w:hint="eastAsia"/>
              </w:rPr>
              <w:t>农业银行永续债</w:t>
            </w:r>
            <w:r w:rsidRPr="00E339C7">
              <w:rPr>
                <w:rFonts w:hint="eastAsia"/>
              </w:rPr>
              <w:t>01</w:t>
            </w:r>
          </w:p>
        </w:tc>
        <w:tc>
          <w:tcPr>
            <w:tcW w:w="1841" w:type="dxa"/>
          </w:tcPr>
          <w:p w:rsidR="00E73778" w:rsidRPr="00FE2B9A" w:rsidRDefault="00E73778" w:rsidP="00766486">
            <w:r w:rsidRPr="00FE2B9A">
              <w:t>600,000,000.00</w:t>
            </w:r>
          </w:p>
        </w:tc>
        <w:tc>
          <w:tcPr>
            <w:tcW w:w="1859" w:type="dxa"/>
          </w:tcPr>
          <w:p w:rsidR="00E73778" w:rsidRPr="00A11F5A" w:rsidRDefault="00E73778" w:rsidP="003604D5">
            <w:r w:rsidRPr="00A11F5A">
              <w:t>13.64%</w:t>
            </w:r>
          </w:p>
        </w:tc>
      </w:tr>
      <w:tr w:rsidR="00E7377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E73778" w:rsidRPr="00C720CE" w:rsidRDefault="00E7377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E73778" w:rsidRPr="00E339C7" w:rsidRDefault="00E73778" w:rsidP="00A86880">
            <w:pPr>
              <w:rPr>
                <w:rFonts w:hint="eastAsia"/>
              </w:rPr>
            </w:pPr>
            <w:r w:rsidRPr="00E339C7">
              <w:rPr>
                <w:rFonts w:hint="eastAsia"/>
              </w:rPr>
              <w:t>19</w:t>
            </w:r>
            <w:r w:rsidRPr="00E339C7">
              <w:rPr>
                <w:rFonts w:hint="eastAsia"/>
              </w:rPr>
              <w:t>中联重科</w:t>
            </w:r>
            <w:r w:rsidRPr="00E339C7">
              <w:rPr>
                <w:rFonts w:hint="eastAsia"/>
              </w:rPr>
              <w:t>MTN001</w:t>
            </w:r>
          </w:p>
        </w:tc>
        <w:tc>
          <w:tcPr>
            <w:tcW w:w="1841" w:type="dxa"/>
          </w:tcPr>
          <w:p w:rsidR="00E73778" w:rsidRPr="00FE2B9A" w:rsidRDefault="00E73778" w:rsidP="00766486">
            <w:r w:rsidRPr="00FE2B9A">
              <w:t>600,000,000.00</w:t>
            </w:r>
          </w:p>
        </w:tc>
        <w:tc>
          <w:tcPr>
            <w:tcW w:w="1859" w:type="dxa"/>
          </w:tcPr>
          <w:p w:rsidR="00E73778" w:rsidRPr="00A11F5A" w:rsidRDefault="00E73778" w:rsidP="003604D5">
            <w:r w:rsidRPr="00A11F5A">
              <w:t>13.64%</w:t>
            </w:r>
          </w:p>
        </w:tc>
      </w:tr>
      <w:tr w:rsidR="00E7377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E73778" w:rsidRPr="00C720CE" w:rsidRDefault="00E7377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E73778" w:rsidRPr="00E339C7" w:rsidRDefault="00E73778" w:rsidP="00A86880">
            <w:pPr>
              <w:rPr>
                <w:rFonts w:hint="eastAsia"/>
              </w:rPr>
            </w:pPr>
            <w:r w:rsidRPr="00E339C7">
              <w:rPr>
                <w:rFonts w:hint="eastAsia"/>
              </w:rPr>
              <w:t>18</w:t>
            </w:r>
            <w:r w:rsidRPr="00E339C7">
              <w:rPr>
                <w:rFonts w:hint="eastAsia"/>
              </w:rPr>
              <w:t>农业银行二级</w:t>
            </w:r>
            <w:r w:rsidRPr="00E339C7">
              <w:rPr>
                <w:rFonts w:hint="eastAsia"/>
              </w:rPr>
              <w:t>01</w:t>
            </w:r>
          </w:p>
        </w:tc>
        <w:tc>
          <w:tcPr>
            <w:tcW w:w="1841" w:type="dxa"/>
          </w:tcPr>
          <w:p w:rsidR="00E73778" w:rsidRPr="00FE2B9A" w:rsidRDefault="00E73778" w:rsidP="00766486">
            <w:r w:rsidRPr="00FE2B9A">
              <w:t>500,000,000.00</w:t>
            </w:r>
          </w:p>
        </w:tc>
        <w:tc>
          <w:tcPr>
            <w:tcW w:w="1859" w:type="dxa"/>
          </w:tcPr>
          <w:p w:rsidR="00E73778" w:rsidRPr="00A11F5A" w:rsidRDefault="00E73778" w:rsidP="003604D5">
            <w:r w:rsidRPr="00A11F5A">
              <w:t>11.37%</w:t>
            </w:r>
          </w:p>
        </w:tc>
      </w:tr>
      <w:tr w:rsidR="00E7377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E73778" w:rsidRPr="00C720CE" w:rsidRDefault="00E7377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E73778" w:rsidRPr="00E339C7" w:rsidRDefault="00E73778" w:rsidP="00A86880">
            <w:pPr>
              <w:rPr>
                <w:rFonts w:hint="eastAsia"/>
              </w:rPr>
            </w:pPr>
            <w:r w:rsidRPr="00E339C7">
              <w:rPr>
                <w:rFonts w:hint="eastAsia"/>
              </w:rPr>
              <w:t>现金及活期存款</w:t>
            </w:r>
          </w:p>
        </w:tc>
        <w:tc>
          <w:tcPr>
            <w:tcW w:w="1841" w:type="dxa"/>
          </w:tcPr>
          <w:p w:rsidR="00E73778" w:rsidRPr="00FE2B9A" w:rsidRDefault="00E73778" w:rsidP="00766486">
            <w:r w:rsidRPr="00FE2B9A">
              <w:t>389,879,351.45</w:t>
            </w:r>
          </w:p>
        </w:tc>
        <w:tc>
          <w:tcPr>
            <w:tcW w:w="1859" w:type="dxa"/>
          </w:tcPr>
          <w:p w:rsidR="00E73778" w:rsidRPr="00A11F5A" w:rsidRDefault="00E73778" w:rsidP="003604D5">
            <w:r w:rsidRPr="00A11F5A">
              <w:t>8.86%</w:t>
            </w:r>
          </w:p>
        </w:tc>
      </w:tr>
      <w:tr w:rsidR="00E7377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E73778" w:rsidRPr="00C720CE" w:rsidRDefault="00E7377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E73778" w:rsidRPr="00E339C7" w:rsidRDefault="00E73778" w:rsidP="00A86880">
            <w:pPr>
              <w:rPr>
                <w:rFonts w:hint="eastAsia"/>
              </w:rPr>
            </w:pPr>
            <w:r w:rsidRPr="00E339C7">
              <w:rPr>
                <w:rFonts w:hint="eastAsia"/>
              </w:rPr>
              <w:t>17</w:t>
            </w:r>
            <w:r w:rsidRPr="00E339C7">
              <w:rPr>
                <w:rFonts w:hint="eastAsia"/>
              </w:rPr>
              <w:t>中国银行二级</w:t>
            </w:r>
            <w:r w:rsidRPr="00E339C7">
              <w:rPr>
                <w:rFonts w:hint="eastAsia"/>
              </w:rPr>
              <w:t>02</w:t>
            </w:r>
          </w:p>
        </w:tc>
        <w:tc>
          <w:tcPr>
            <w:tcW w:w="1841" w:type="dxa"/>
          </w:tcPr>
          <w:p w:rsidR="00E73778" w:rsidRPr="00FE2B9A" w:rsidRDefault="00E73778" w:rsidP="00766486">
            <w:r w:rsidRPr="00FE2B9A">
              <w:t>356,503,493.26</w:t>
            </w:r>
          </w:p>
        </w:tc>
        <w:tc>
          <w:tcPr>
            <w:tcW w:w="1859" w:type="dxa"/>
          </w:tcPr>
          <w:p w:rsidR="00E73778" w:rsidRPr="00A11F5A" w:rsidRDefault="00E73778" w:rsidP="003604D5">
            <w:r w:rsidRPr="00A11F5A">
              <w:t>8.10%</w:t>
            </w:r>
          </w:p>
        </w:tc>
      </w:tr>
      <w:tr w:rsidR="00E7377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E73778" w:rsidRPr="00C720CE" w:rsidRDefault="00E7377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6</w:t>
            </w:r>
          </w:p>
        </w:tc>
        <w:tc>
          <w:tcPr>
            <w:tcW w:w="3969" w:type="dxa"/>
          </w:tcPr>
          <w:p w:rsidR="00E73778" w:rsidRPr="007A26D0" w:rsidRDefault="00E73778" w:rsidP="001E60DD">
            <w:pPr>
              <w:rPr>
                <w:rFonts w:hint="eastAsia"/>
              </w:rPr>
            </w:pPr>
            <w:r w:rsidRPr="007A26D0">
              <w:rPr>
                <w:rFonts w:hint="eastAsia"/>
              </w:rPr>
              <w:t>19</w:t>
            </w:r>
            <w:r w:rsidRPr="007A26D0">
              <w:rPr>
                <w:rFonts w:hint="eastAsia"/>
              </w:rPr>
              <w:t>湘潭九华</w:t>
            </w:r>
            <w:r w:rsidRPr="007A26D0">
              <w:rPr>
                <w:rFonts w:hint="eastAsia"/>
              </w:rPr>
              <w:t>MTN001</w:t>
            </w:r>
          </w:p>
        </w:tc>
        <w:tc>
          <w:tcPr>
            <w:tcW w:w="1841" w:type="dxa"/>
          </w:tcPr>
          <w:p w:rsidR="00E73778" w:rsidRPr="00986C6D" w:rsidRDefault="00E73778" w:rsidP="005E0202">
            <w:r w:rsidRPr="00986C6D">
              <w:t>300,000,000.00</w:t>
            </w:r>
          </w:p>
        </w:tc>
        <w:tc>
          <w:tcPr>
            <w:tcW w:w="1859" w:type="dxa"/>
          </w:tcPr>
          <w:p w:rsidR="00E73778" w:rsidRPr="00845B08" w:rsidRDefault="00E73778" w:rsidP="00FD5DFA">
            <w:r w:rsidRPr="00845B08">
              <w:t>6.82%</w:t>
            </w:r>
          </w:p>
        </w:tc>
      </w:tr>
      <w:tr w:rsidR="00E7377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E73778" w:rsidRPr="00C720CE" w:rsidRDefault="00E7377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E73778" w:rsidRPr="007A26D0" w:rsidRDefault="00E73778" w:rsidP="001E60DD">
            <w:pPr>
              <w:rPr>
                <w:rFonts w:hint="eastAsia"/>
              </w:rPr>
            </w:pPr>
            <w:r w:rsidRPr="007A26D0">
              <w:rPr>
                <w:rFonts w:hint="eastAsia"/>
              </w:rPr>
              <w:t>19</w:t>
            </w:r>
            <w:proofErr w:type="gramStart"/>
            <w:r w:rsidRPr="007A26D0">
              <w:rPr>
                <w:rFonts w:hint="eastAsia"/>
              </w:rPr>
              <w:t>振湘国资</w:t>
            </w:r>
            <w:proofErr w:type="gramEnd"/>
            <w:r w:rsidRPr="007A26D0">
              <w:rPr>
                <w:rFonts w:hint="eastAsia"/>
              </w:rPr>
              <w:t>PPN001</w:t>
            </w:r>
          </w:p>
        </w:tc>
        <w:tc>
          <w:tcPr>
            <w:tcW w:w="1841" w:type="dxa"/>
          </w:tcPr>
          <w:p w:rsidR="00E73778" w:rsidRPr="00986C6D" w:rsidRDefault="00E73778" w:rsidP="005E0202">
            <w:r w:rsidRPr="00986C6D">
              <w:t>240,000,000.00</w:t>
            </w:r>
          </w:p>
        </w:tc>
        <w:tc>
          <w:tcPr>
            <w:tcW w:w="1859" w:type="dxa"/>
          </w:tcPr>
          <w:p w:rsidR="00E73778" w:rsidRPr="00845B08" w:rsidRDefault="00E73778" w:rsidP="00FD5DFA">
            <w:r w:rsidRPr="00845B08">
              <w:t>5.46%</w:t>
            </w:r>
          </w:p>
        </w:tc>
      </w:tr>
      <w:tr w:rsidR="00E7377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E73778" w:rsidRPr="00C720CE" w:rsidRDefault="00E7377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E73778" w:rsidRPr="007A26D0" w:rsidRDefault="00E73778" w:rsidP="001E60DD">
            <w:pPr>
              <w:rPr>
                <w:rFonts w:hint="eastAsia"/>
              </w:rPr>
            </w:pPr>
            <w:r w:rsidRPr="007A26D0">
              <w:rPr>
                <w:rFonts w:hint="eastAsia"/>
              </w:rPr>
              <w:t>18</w:t>
            </w:r>
            <w:r w:rsidRPr="007A26D0">
              <w:rPr>
                <w:rFonts w:hint="eastAsia"/>
              </w:rPr>
              <w:t>湘张家界交投</w:t>
            </w:r>
            <w:r w:rsidRPr="007A26D0">
              <w:rPr>
                <w:rFonts w:hint="eastAsia"/>
              </w:rPr>
              <w:t>AB001</w:t>
            </w:r>
          </w:p>
        </w:tc>
        <w:tc>
          <w:tcPr>
            <w:tcW w:w="1841" w:type="dxa"/>
          </w:tcPr>
          <w:p w:rsidR="00E73778" w:rsidRPr="00986C6D" w:rsidRDefault="00E73778" w:rsidP="005E0202">
            <w:r w:rsidRPr="00986C6D">
              <w:t>221,123,992.56</w:t>
            </w:r>
          </w:p>
        </w:tc>
        <w:tc>
          <w:tcPr>
            <w:tcW w:w="1859" w:type="dxa"/>
          </w:tcPr>
          <w:p w:rsidR="00E73778" w:rsidRPr="00845B08" w:rsidRDefault="00E73778" w:rsidP="00FD5DFA">
            <w:r w:rsidRPr="00845B08">
              <w:t>5.03%</w:t>
            </w:r>
          </w:p>
        </w:tc>
      </w:tr>
      <w:tr w:rsidR="00E7377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E73778" w:rsidRPr="00C720CE" w:rsidRDefault="00E7377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E73778" w:rsidRPr="007A26D0" w:rsidRDefault="00E73778" w:rsidP="001E60DD">
            <w:pPr>
              <w:rPr>
                <w:rFonts w:hint="eastAsia"/>
              </w:rPr>
            </w:pPr>
            <w:r w:rsidRPr="007A26D0">
              <w:rPr>
                <w:rFonts w:hint="eastAsia"/>
              </w:rPr>
              <w:t>20</w:t>
            </w:r>
            <w:proofErr w:type="gramStart"/>
            <w:r w:rsidRPr="007A26D0">
              <w:rPr>
                <w:rFonts w:hint="eastAsia"/>
              </w:rPr>
              <w:t>三一</w:t>
            </w:r>
            <w:proofErr w:type="gramEnd"/>
            <w:r w:rsidRPr="007A26D0">
              <w:rPr>
                <w:rFonts w:hint="eastAsia"/>
              </w:rPr>
              <w:t>MTN002</w:t>
            </w:r>
          </w:p>
        </w:tc>
        <w:tc>
          <w:tcPr>
            <w:tcW w:w="1841" w:type="dxa"/>
          </w:tcPr>
          <w:p w:rsidR="00E73778" w:rsidRPr="00986C6D" w:rsidRDefault="00E73778" w:rsidP="005E0202">
            <w:r w:rsidRPr="00986C6D">
              <w:t>200,000,000.00</w:t>
            </w:r>
          </w:p>
        </w:tc>
        <w:tc>
          <w:tcPr>
            <w:tcW w:w="1859" w:type="dxa"/>
          </w:tcPr>
          <w:p w:rsidR="00E73778" w:rsidRPr="00845B08" w:rsidRDefault="00E73778" w:rsidP="00FD5DFA">
            <w:r w:rsidRPr="00845B08">
              <w:t>4.55%</w:t>
            </w:r>
          </w:p>
        </w:tc>
      </w:tr>
      <w:tr w:rsidR="00E7377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E73778" w:rsidRPr="00C720CE" w:rsidRDefault="00E7377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E73778" w:rsidRPr="007A26D0" w:rsidRDefault="00E73778" w:rsidP="001E60DD">
            <w:pPr>
              <w:rPr>
                <w:rFonts w:hint="eastAsia"/>
              </w:rPr>
            </w:pPr>
            <w:r w:rsidRPr="007A26D0">
              <w:rPr>
                <w:rFonts w:hint="eastAsia"/>
              </w:rPr>
              <w:t>19</w:t>
            </w:r>
            <w:proofErr w:type="gramStart"/>
            <w:r w:rsidRPr="007A26D0">
              <w:rPr>
                <w:rFonts w:hint="eastAsia"/>
              </w:rPr>
              <w:t>三一</w:t>
            </w:r>
            <w:proofErr w:type="gramEnd"/>
            <w:r w:rsidRPr="007A26D0">
              <w:rPr>
                <w:rFonts w:hint="eastAsia"/>
              </w:rPr>
              <w:t>MTN002</w:t>
            </w:r>
          </w:p>
        </w:tc>
        <w:tc>
          <w:tcPr>
            <w:tcW w:w="1841" w:type="dxa"/>
          </w:tcPr>
          <w:p w:rsidR="00E73778" w:rsidRPr="00986C6D" w:rsidRDefault="00E73778" w:rsidP="005E0202">
            <w:r w:rsidRPr="00986C6D">
              <w:t>177,400,000.00</w:t>
            </w:r>
          </w:p>
        </w:tc>
        <w:tc>
          <w:tcPr>
            <w:tcW w:w="1859" w:type="dxa"/>
          </w:tcPr>
          <w:p w:rsidR="00E73778" w:rsidRPr="00845B08" w:rsidRDefault="00E73778" w:rsidP="00FD5DFA">
            <w:r w:rsidRPr="00845B08">
              <w:t>4.03%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E73778">
              <w:rPr>
                <w:rFonts w:ascii="宋体" w:hAnsi="宋体" w:cs="宋体" w:hint="eastAsia"/>
                <w:kern w:val="0"/>
              </w:rPr>
              <w:t>0008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lastRenderedPageBreak/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5204A8" w:rsidRDefault="00B837A0" w:rsidP="00B837A0">
      <w:pPr>
        <w:jc w:val="right"/>
        <w:rPr>
          <w:rFonts w:asciiTheme="minorEastAsia" w:eastAsiaTheme="minorEastAsia" w:hAnsiTheme="minorEastAsia"/>
        </w:rPr>
      </w:pPr>
      <w:r w:rsidRPr="00B837A0">
        <w:rPr>
          <w:rFonts w:asciiTheme="minorEastAsia" w:eastAsiaTheme="minorEastAsia" w:hAnsiTheme="minorEastAsia" w:hint="eastAsia"/>
          <w:color w:val="000000"/>
          <w:sz w:val="28"/>
          <w:szCs w:val="28"/>
        </w:rPr>
        <w:t>2020年06月30日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E73778" w:rsidP="005204A8">
      <w:pPr>
        <w:jc w:val="center"/>
        <w:rPr>
          <w:b/>
          <w:color w:val="000000"/>
          <w:sz w:val="24"/>
          <w:szCs w:val="24"/>
        </w:rPr>
      </w:pPr>
      <w:r w:rsidRPr="00E73778">
        <w:rPr>
          <w:rFonts w:hint="eastAsia"/>
          <w:b/>
          <w:color w:val="000000"/>
          <w:sz w:val="24"/>
          <w:szCs w:val="24"/>
        </w:rPr>
        <w:t>乾元</w:t>
      </w:r>
      <w:r w:rsidRPr="00E73778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E73778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E73778">
        <w:rPr>
          <w:rFonts w:hint="eastAsia"/>
          <w:b/>
          <w:color w:val="000000"/>
          <w:sz w:val="24"/>
          <w:szCs w:val="24"/>
        </w:rPr>
        <w:t>开放式资产组合型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B837A0" w:rsidRPr="00B837A0">
        <w:rPr>
          <w:rFonts w:ascii="宋体" w:hAnsi="宋体" w:hint="eastAsia"/>
          <w:color w:val="000000"/>
          <w:szCs w:val="21"/>
        </w:rPr>
        <w:t>2020年06月30日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E73778" w:rsidRPr="00E73778">
        <w:rPr>
          <w:rFonts w:ascii="宋体" w:hAnsi="宋体" w:hint="eastAsia"/>
          <w:color w:val="000000"/>
          <w:szCs w:val="21"/>
        </w:rPr>
        <w:t>乾元-福润潇湘开放式资产组合型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298"/>
        <w:gridCol w:w="3964"/>
        <w:gridCol w:w="784"/>
        <w:gridCol w:w="844"/>
        <w:gridCol w:w="632"/>
      </w:tblGrid>
      <w:tr w:rsidR="005204A8" w:rsidTr="00E73778">
        <w:trPr>
          <w:trHeight w:val="765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E73778" w:rsidTr="00E73778">
        <w:trPr>
          <w:trHeight w:val="240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D12E83" w:rsidRDefault="00E73778" w:rsidP="00DB2B9B">
            <w:pPr>
              <w:rPr>
                <w:rFonts w:hint="eastAsia"/>
              </w:rPr>
            </w:pPr>
            <w:r w:rsidRPr="00D12E83">
              <w:rPr>
                <w:rFonts w:hint="eastAsia"/>
              </w:rPr>
              <w:t>股权投资类（带回购）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580538" w:rsidRDefault="00E73778" w:rsidP="00392716">
            <w:pPr>
              <w:rPr>
                <w:rFonts w:hint="eastAsia"/>
              </w:rPr>
            </w:pPr>
            <w:r w:rsidRPr="00580538">
              <w:rPr>
                <w:rFonts w:hint="eastAsia"/>
              </w:rPr>
              <w:t>张家界市交通建设投资集团有限公司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778" w:rsidRPr="00496C1E" w:rsidRDefault="00E73778" w:rsidP="003359AF">
            <w:pPr>
              <w:rPr>
                <w:rFonts w:hint="eastAsia"/>
              </w:rPr>
            </w:pPr>
            <w:r w:rsidRPr="00496C1E">
              <w:rPr>
                <w:rFonts w:hint="eastAsia"/>
              </w:rPr>
              <w:t>18</w:t>
            </w:r>
            <w:r w:rsidRPr="00496C1E">
              <w:rPr>
                <w:rFonts w:hint="eastAsia"/>
              </w:rPr>
              <w:t>湘张家界交投</w:t>
            </w:r>
            <w:r w:rsidRPr="00496C1E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FE7B89" w:rsidRDefault="00E73778" w:rsidP="0008053A">
            <w:r w:rsidRPr="00FE7B89">
              <w:t>2,377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778" w:rsidRPr="00470067" w:rsidRDefault="00E73778" w:rsidP="00A30667">
            <w:pPr>
              <w:rPr>
                <w:rFonts w:hint="eastAsia"/>
              </w:rPr>
            </w:pPr>
            <w:r w:rsidRPr="00470067">
              <w:rPr>
                <w:rFonts w:hint="eastAsia"/>
              </w:rPr>
              <w:t>正常</w:t>
            </w:r>
          </w:p>
        </w:tc>
      </w:tr>
      <w:tr w:rsidR="00E73778" w:rsidTr="00E73778">
        <w:trPr>
          <w:trHeight w:val="240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D12E83" w:rsidRDefault="00E73778" w:rsidP="00DB2B9B">
            <w:pPr>
              <w:rPr>
                <w:rFonts w:hint="eastAsia"/>
              </w:rPr>
            </w:pPr>
            <w:r w:rsidRPr="00D12E83">
              <w:rPr>
                <w:rFonts w:hint="eastAsia"/>
              </w:rPr>
              <w:t>资产收益权类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580538" w:rsidRDefault="00E73778" w:rsidP="00392716">
            <w:pPr>
              <w:rPr>
                <w:rFonts w:hint="eastAsia"/>
              </w:rPr>
            </w:pPr>
            <w:r w:rsidRPr="00580538">
              <w:rPr>
                <w:rFonts w:hint="eastAsia"/>
              </w:rPr>
              <w:t>湖南郴电国际发展股份有限公司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778" w:rsidRPr="00496C1E" w:rsidRDefault="00E73778" w:rsidP="003359AF">
            <w:pPr>
              <w:rPr>
                <w:rFonts w:hint="eastAsia"/>
              </w:rPr>
            </w:pPr>
            <w:r w:rsidRPr="00496C1E">
              <w:rPr>
                <w:rFonts w:hint="eastAsia"/>
              </w:rPr>
              <w:t>17</w:t>
            </w:r>
            <w:r w:rsidRPr="00496C1E">
              <w:rPr>
                <w:rFonts w:hint="eastAsia"/>
              </w:rPr>
              <w:t>湘</w:t>
            </w:r>
            <w:proofErr w:type="gramStart"/>
            <w:r w:rsidRPr="00496C1E">
              <w:rPr>
                <w:rFonts w:hint="eastAsia"/>
              </w:rPr>
              <w:t>郴</w:t>
            </w:r>
            <w:proofErr w:type="gramEnd"/>
            <w:r w:rsidRPr="00496C1E">
              <w:rPr>
                <w:rFonts w:hint="eastAsia"/>
              </w:rPr>
              <w:t>电国际</w:t>
            </w:r>
            <w:r w:rsidRPr="00496C1E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FE7B89" w:rsidRDefault="00E73778" w:rsidP="0008053A">
            <w:r w:rsidRPr="00FE7B89">
              <w:t>1,552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778" w:rsidRPr="00470067" w:rsidRDefault="00E73778" w:rsidP="00A30667">
            <w:pPr>
              <w:rPr>
                <w:rFonts w:hint="eastAsia"/>
              </w:rPr>
            </w:pPr>
            <w:r w:rsidRPr="00470067">
              <w:rPr>
                <w:rFonts w:hint="eastAsia"/>
              </w:rPr>
              <w:t>正常</w:t>
            </w:r>
          </w:p>
        </w:tc>
      </w:tr>
      <w:tr w:rsidR="00E73778" w:rsidTr="00E73778">
        <w:trPr>
          <w:trHeight w:val="240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D12E83" w:rsidRDefault="00E73778" w:rsidP="00DB2B9B">
            <w:pPr>
              <w:rPr>
                <w:rFonts w:hint="eastAsia"/>
              </w:rPr>
            </w:pPr>
            <w:r w:rsidRPr="00D12E83">
              <w:rPr>
                <w:rFonts w:hint="eastAsia"/>
              </w:rPr>
              <w:t>产业基金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580538" w:rsidRDefault="00E73778" w:rsidP="00392716">
            <w:pPr>
              <w:rPr>
                <w:rFonts w:hint="eastAsia"/>
              </w:rPr>
            </w:pPr>
            <w:r w:rsidRPr="00580538">
              <w:rPr>
                <w:rFonts w:hint="eastAsia"/>
              </w:rPr>
              <w:t>长沙天心城市建设投资开发集团有限公司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778" w:rsidRPr="00496C1E" w:rsidRDefault="00E73778" w:rsidP="003359AF">
            <w:pPr>
              <w:rPr>
                <w:rFonts w:hint="eastAsia"/>
              </w:rPr>
            </w:pPr>
            <w:r w:rsidRPr="00496C1E">
              <w:rPr>
                <w:rFonts w:hint="eastAsia"/>
              </w:rPr>
              <w:t>17</w:t>
            </w:r>
            <w:proofErr w:type="gramStart"/>
            <w:r w:rsidRPr="00496C1E">
              <w:rPr>
                <w:rFonts w:hint="eastAsia"/>
              </w:rPr>
              <w:t>湘天心城</w:t>
            </w:r>
            <w:proofErr w:type="gramEnd"/>
            <w:r w:rsidRPr="00496C1E">
              <w:rPr>
                <w:rFonts w:hint="eastAsia"/>
              </w:rPr>
              <w:t>投</w:t>
            </w:r>
            <w:r w:rsidRPr="00496C1E">
              <w:rPr>
                <w:rFonts w:hint="eastAsia"/>
              </w:rPr>
              <w:t>AB002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FE7B89" w:rsidRDefault="00E73778" w:rsidP="0008053A">
            <w:r w:rsidRPr="00FE7B89">
              <w:t>1,276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778" w:rsidRPr="00470067" w:rsidRDefault="00E73778" w:rsidP="00A30667">
            <w:pPr>
              <w:rPr>
                <w:rFonts w:hint="eastAsia"/>
              </w:rPr>
            </w:pPr>
            <w:r w:rsidRPr="00470067">
              <w:rPr>
                <w:rFonts w:hint="eastAsia"/>
              </w:rPr>
              <w:t>正常</w:t>
            </w:r>
          </w:p>
        </w:tc>
      </w:tr>
      <w:tr w:rsidR="00E73778" w:rsidTr="00E73778">
        <w:trPr>
          <w:trHeight w:val="240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D12E83" w:rsidRDefault="00E73778" w:rsidP="00DB2B9B">
            <w:pPr>
              <w:rPr>
                <w:rFonts w:hint="eastAsia"/>
              </w:rPr>
            </w:pPr>
            <w:r w:rsidRPr="00D12E83">
              <w:rPr>
                <w:rFonts w:hint="eastAsia"/>
              </w:rPr>
              <w:t>产业基金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580538" w:rsidRDefault="00E73778" w:rsidP="00392716">
            <w:pPr>
              <w:rPr>
                <w:rFonts w:hint="eastAsia"/>
              </w:rPr>
            </w:pPr>
            <w:r w:rsidRPr="00580538">
              <w:rPr>
                <w:rFonts w:hint="eastAsia"/>
              </w:rPr>
              <w:t>张家界市经济发展投资集团有限公司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778" w:rsidRPr="00496C1E" w:rsidRDefault="00E73778" w:rsidP="003359AF">
            <w:pPr>
              <w:rPr>
                <w:rFonts w:hint="eastAsia"/>
              </w:rPr>
            </w:pPr>
            <w:r w:rsidRPr="00496C1E">
              <w:rPr>
                <w:rFonts w:hint="eastAsia"/>
              </w:rPr>
              <w:t>18</w:t>
            </w:r>
            <w:r w:rsidRPr="00496C1E">
              <w:rPr>
                <w:rFonts w:hint="eastAsia"/>
              </w:rPr>
              <w:t>湘张家界经</w:t>
            </w:r>
            <w:r w:rsidRPr="00496C1E">
              <w:rPr>
                <w:rFonts w:hint="eastAsia"/>
              </w:rPr>
              <w:lastRenderedPageBreak/>
              <w:t>投</w:t>
            </w:r>
            <w:r w:rsidRPr="00496C1E">
              <w:rPr>
                <w:rFonts w:hint="eastAsia"/>
              </w:rPr>
              <w:t>OB001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FE7B89" w:rsidRDefault="00E73778" w:rsidP="0008053A">
            <w:r w:rsidRPr="00FE7B89">
              <w:lastRenderedPageBreak/>
              <w:t>636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778" w:rsidRPr="00470067" w:rsidRDefault="00E73778" w:rsidP="00A30667">
            <w:pPr>
              <w:rPr>
                <w:rFonts w:hint="eastAsia"/>
              </w:rPr>
            </w:pPr>
            <w:r w:rsidRPr="00470067">
              <w:rPr>
                <w:rFonts w:hint="eastAsia"/>
              </w:rPr>
              <w:t>正常</w:t>
            </w:r>
          </w:p>
        </w:tc>
      </w:tr>
      <w:tr w:rsidR="00E73778" w:rsidTr="00E73778">
        <w:trPr>
          <w:trHeight w:val="240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D12E83" w:rsidRDefault="00E73778" w:rsidP="00DB2B9B">
            <w:pPr>
              <w:rPr>
                <w:rFonts w:hint="eastAsia"/>
              </w:rPr>
            </w:pPr>
            <w:r w:rsidRPr="00D12E83">
              <w:rPr>
                <w:rFonts w:hint="eastAsia"/>
              </w:rPr>
              <w:lastRenderedPageBreak/>
              <w:t>股权投资类</w:t>
            </w:r>
            <w:r w:rsidRPr="00D12E83">
              <w:rPr>
                <w:rFonts w:hint="eastAsia"/>
              </w:rPr>
              <w:t>(</w:t>
            </w:r>
            <w:r w:rsidRPr="00D12E83">
              <w:rPr>
                <w:rFonts w:hint="eastAsia"/>
              </w:rPr>
              <w:t>非回购</w:t>
            </w:r>
            <w:r w:rsidRPr="00D12E83">
              <w:rPr>
                <w:rFonts w:hint="eastAsia"/>
              </w:rPr>
              <w:t>)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580538" w:rsidRDefault="00E73778" w:rsidP="00392716">
            <w:pPr>
              <w:rPr>
                <w:rFonts w:hint="eastAsia"/>
              </w:rPr>
            </w:pPr>
            <w:r w:rsidRPr="00580538">
              <w:rPr>
                <w:rFonts w:hint="eastAsia"/>
              </w:rPr>
              <w:t>永州市顺发投资建设有限责任公司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778" w:rsidRPr="00496C1E" w:rsidRDefault="00E73778" w:rsidP="003359AF">
            <w:pPr>
              <w:rPr>
                <w:rFonts w:hint="eastAsia"/>
              </w:rPr>
            </w:pPr>
            <w:r w:rsidRPr="00496C1E">
              <w:rPr>
                <w:rFonts w:hint="eastAsia"/>
              </w:rPr>
              <w:t>17</w:t>
            </w:r>
            <w:r w:rsidRPr="00496C1E">
              <w:rPr>
                <w:rFonts w:hint="eastAsia"/>
              </w:rPr>
              <w:t>永州经投</w:t>
            </w:r>
            <w:r w:rsidRPr="00496C1E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FE7B89" w:rsidRDefault="00E73778" w:rsidP="0008053A">
            <w:r w:rsidRPr="00FE7B89">
              <w:t>358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778" w:rsidRPr="00470067" w:rsidRDefault="00E73778" w:rsidP="00A30667">
            <w:pPr>
              <w:rPr>
                <w:rFonts w:hint="eastAsia"/>
              </w:rPr>
            </w:pPr>
            <w:r w:rsidRPr="00470067">
              <w:rPr>
                <w:rFonts w:hint="eastAsia"/>
              </w:rPr>
              <w:t>正常</w:t>
            </w:r>
          </w:p>
        </w:tc>
      </w:tr>
      <w:tr w:rsidR="00E73778" w:rsidTr="00E73778">
        <w:trPr>
          <w:trHeight w:val="240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D12E83" w:rsidRDefault="00E73778" w:rsidP="00DB2B9B">
            <w:pPr>
              <w:rPr>
                <w:rFonts w:hint="eastAsia"/>
              </w:rPr>
            </w:pPr>
            <w:r w:rsidRPr="00D12E83">
              <w:rPr>
                <w:rFonts w:hint="eastAsia"/>
              </w:rPr>
              <w:t>股权投资类（带回购）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580538" w:rsidRDefault="00E73778" w:rsidP="00392716">
            <w:pPr>
              <w:rPr>
                <w:rFonts w:hint="eastAsia"/>
              </w:rPr>
            </w:pPr>
            <w:r w:rsidRPr="00580538">
              <w:rPr>
                <w:rFonts w:hint="eastAsia"/>
              </w:rPr>
              <w:t>湖南天环经济开发有限责任公司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778" w:rsidRPr="00496C1E" w:rsidRDefault="00E73778" w:rsidP="003359AF">
            <w:pPr>
              <w:rPr>
                <w:rFonts w:hint="eastAsia"/>
              </w:rPr>
            </w:pPr>
            <w:r w:rsidRPr="00496C1E">
              <w:rPr>
                <w:rFonts w:hint="eastAsia"/>
              </w:rPr>
              <w:t>16</w:t>
            </w:r>
            <w:proofErr w:type="gramStart"/>
            <w:r w:rsidRPr="00496C1E">
              <w:rPr>
                <w:rFonts w:hint="eastAsia"/>
              </w:rPr>
              <w:t>湘天心城</w:t>
            </w:r>
            <w:proofErr w:type="gramEnd"/>
            <w:r w:rsidRPr="00496C1E">
              <w:rPr>
                <w:rFonts w:hint="eastAsia"/>
              </w:rPr>
              <w:t>投</w:t>
            </w:r>
            <w:r w:rsidRPr="00496C1E">
              <w:rPr>
                <w:rFonts w:hint="eastAsia"/>
              </w:rPr>
              <w:t>AB002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FE7B89" w:rsidRDefault="00E73778" w:rsidP="0008053A">
            <w:r w:rsidRPr="00FE7B89">
              <w:t>350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778" w:rsidRPr="00470067" w:rsidRDefault="00E73778" w:rsidP="00A30667">
            <w:pPr>
              <w:rPr>
                <w:rFonts w:hint="eastAsia"/>
              </w:rPr>
            </w:pPr>
            <w:r w:rsidRPr="00470067">
              <w:rPr>
                <w:rFonts w:hint="eastAsia"/>
              </w:rPr>
              <w:t>正常</w:t>
            </w:r>
          </w:p>
        </w:tc>
      </w:tr>
      <w:tr w:rsidR="00E73778" w:rsidTr="00E73778">
        <w:trPr>
          <w:trHeight w:val="240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D12E83" w:rsidRDefault="00E73778" w:rsidP="00DB2B9B">
            <w:pPr>
              <w:rPr>
                <w:rFonts w:hint="eastAsia"/>
              </w:rPr>
            </w:pPr>
            <w:r w:rsidRPr="00D12E83">
              <w:rPr>
                <w:rFonts w:hint="eastAsia"/>
              </w:rPr>
              <w:t>股权投资类</w:t>
            </w:r>
            <w:r w:rsidRPr="00D12E83">
              <w:rPr>
                <w:rFonts w:hint="eastAsia"/>
              </w:rPr>
              <w:t>(</w:t>
            </w:r>
            <w:r w:rsidRPr="00D12E83">
              <w:rPr>
                <w:rFonts w:hint="eastAsia"/>
              </w:rPr>
              <w:t>非回购</w:t>
            </w:r>
            <w:r w:rsidRPr="00D12E83">
              <w:rPr>
                <w:rFonts w:hint="eastAsia"/>
              </w:rPr>
              <w:t>)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580538" w:rsidRDefault="00E73778" w:rsidP="00392716">
            <w:pPr>
              <w:rPr>
                <w:rFonts w:hint="eastAsia"/>
              </w:rPr>
            </w:pPr>
            <w:r w:rsidRPr="00580538">
              <w:rPr>
                <w:rFonts w:hint="eastAsia"/>
              </w:rPr>
              <w:t>步步高投资集团股份有限公司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778" w:rsidRPr="00496C1E" w:rsidRDefault="00E73778" w:rsidP="003359AF">
            <w:pPr>
              <w:rPr>
                <w:rFonts w:hint="eastAsia"/>
              </w:rPr>
            </w:pPr>
            <w:r w:rsidRPr="00496C1E">
              <w:rPr>
                <w:rFonts w:hint="eastAsia"/>
              </w:rPr>
              <w:t>17</w:t>
            </w:r>
            <w:r w:rsidRPr="00496C1E">
              <w:rPr>
                <w:rFonts w:hint="eastAsia"/>
              </w:rPr>
              <w:t>湘步步高</w:t>
            </w:r>
            <w:r w:rsidRPr="00496C1E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FE7B89" w:rsidRDefault="00E73778" w:rsidP="0008053A">
            <w:r w:rsidRPr="00FE7B89">
              <w:t>342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778" w:rsidRPr="00470067" w:rsidRDefault="00E73778" w:rsidP="00A30667">
            <w:pPr>
              <w:rPr>
                <w:rFonts w:hint="eastAsia"/>
              </w:rPr>
            </w:pPr>
            <w:r w:rsidRPr="00470067">
              <w:rPr>
                <w:rFonts w:hint="eastAsia"/>
              </w:rPr>
              <w:t>正常</w:t>
            </w:r>
          </w:p>
        </w:tc>
      </w:tr>
      <w:tr w:rsidR="00E73778" w:rsidTr="00E73778">
        <w:trPr>
          <w:trHeight w:val="240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D12E83" w:rsidRDefault="00E73778" w:rsidP="00DB2B9B">
            <w:pPr>
              <w:rPr>
                <w:rFonts w:hint="eastAsia"/>
              </w:rPr>
            </w:pPr>
            <w:r w:rsidRPr="00D12E83">
              <w:rPr>
                <w:rFonts w:hint="eastAsia"/>
              </w:rPr>
              <w:t>产业基金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580538" w:rsidRDefault="00E73778" w:rsidP="00392716">
            <w:pPr>
              <w:rPr>
                <w:rFonts w:hint="eastAsia"/>
              </w:rPr>
            </w:pPr>
            <w:r w:rsidRPr="00580538">
              <w:rPr>
                <w:rFonts w:hint="eastAsia"/>
              </w:rPr>
              <w:t>长沙市芙蓉城市建设投资集团有限公司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778" w:rsidRPr="00496C1E" w:rsidRDefault="00E73778" w:rsidP="003359AF">
            <w:pPr>
              <w:rPr>
                <w:rFonts w:hint="eastAsia"/>
              </w:rPr>
            </w:pPr>
            <w:r w:rsidRPr="00496C1E">
              <w:rPr>
                <w:rFonts w:hint="eastAsia"/>
              </w:rPr>
              <w:t>16</w:t>
            </w:r>
            <w:r w:rsidRPr="00496C1E">
              <w:rPr>
                <w:rFonts w:hint="eastAsia"/>
              </w:rPr>
              <w:t>芙蓉城投</w:t>
            </w:r>
            <w:r w:rsidRPr="00496C1E">
              <w:rPr>
                <w:rFonts w:hint="eastAsia"/>
              </w:rPr>
              <w:t>AB002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FE7B89" w:rsidRDefault="00E73778" w:rsidP="0008053A">
            <w:r w:rsidRPr="00FE7B89">
              <w:t>253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778" w:rsidRPr="00470067" w:rsidRDefault="00E73778" w:rsidP="00A30667">
            <w:pPr>
              <w:rPr>
                <w:rFonts w:hint="eastAsia"/>
              </w:rPr>
            </w:pPr>
            <w:r w:rsidRPr="00470067">
              <w:rPr>
                <w:rFonts w:hint="eastAsia"/>
              </w:rPr>
              <w:t>正常</w:t>
            </w:r>
          </w:p>
        </w:tc>
      </w:tr>
      <w:tr w:rsidR="00E73778" w:rsidTr="00E73778">
        <w:trPr>
          <w:trHeight w:val="240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D12E83" w:rsidRDefault="00E73778" w:rsidP="00DB2B9B">
            <w:pPr>
              <w:rPr>
                <w:rFonts w:hint="eastAsia"/>
              </w:rPr>
            </w:pPr>
            <w:r w:rsidRPr="00D12E83">
              <w:rPr>
                <w:rFonts w:hint="eastAsia"/>
              </w:rPr>
              <w:t>产业基金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580538" w:rsidRDefault="00E73778" w:rsidP="00392716">
            <w:pPr>
              <w:rPr>
                <w:rFonts w:hint="eastAsia"/>
              </w:rPr>
            </w:pPr>
            <w:r w:rsidRPr="00580538">
              <w:rPr>
                <w:rFonts w:hint="eastAsia"/>
              </w:rPr>
              <w:t>长沙市城北投资有限公司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778" w:rsidRPr="00496C1E" w:rsidRDefault="00E73778" w:rsidP="003359AF">
            <w:pPr>
              <w:rPr>
                <w:rFonts w:hint="eastAsia"/>
              </w:rPr>
            </w:pPr>
            <w:r w:rsidRPr="00496C1E">
              <w:rPr>
                <w:rFonts w:hint="eastAsia"/>
              </w:rPr>
              <w:t>18</w:t>
            </w:r>
            <w:r w:rsidRPr="00496C1E">
              <w:rPr>
                <w:rFonts w:hint="eastAsia"/>
              </w:rPr>
              <w:t>湘城北</w:t>
            </w:r>
            <w:r w:rsidRPr="00496C1E">
              <w:rPr>
                <w:rFonts w:hint="eastAsia"/>
              </w:rPr>
              <w:t>OB001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FE7B89" w:rsidRDefault="00E73778" w:rsidP="0008053A">
            <w:r w:rsidRPr="00FE7B89">
              <w:t>244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778" w:rsidRPr="00470067" w:rsidRDefault="00E73778" w:rsidP="00A30667">
            <w:pPr>
              <w:rPr>
                <w:rFonts w:hint="eastAsia"/>
              </w:rPr>
            </w:pPr>
            <w:r w:rsidRPr="00470067">
              <w:rPr>
                <w:rFonts w:hint="eastAsia"/>
              </w:rPr>
              <w:t>正常</w:t>
            </w:r>
          </w:p>
        </w:tc>
      </w:tr>
      <w:tr w:rsidR="00E73778" w:rsidTr="00E73778">
        <w:trPr>
          <w:trHeight w:val="240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D12E83" w:rsidRDefault="00E73778" w:rsidP="00DB2B9B">
            <w:pPr>
              <w:rPr>
                <w:rFonts w:hint="eastAsia"/>
              </w:rPr>
            </w:pPr>
            <w:r w:rsidRPr="00D12E83">
              <w:rPr>
                <w:rFonts w:hint="eastAsia"/>
              </w:rPr>
              <w:t>股权投资类</w:t>
            </w:r>
            <w:r w:rsidRPr="00D12E83">
              <w:rPr>
                <w:rFonts w:hint="eastAsia"/>
              </w:rPr>
              <w:t>(</w:t>
            </w:r>
            <w:r w:rsidRPr="00D12E83">
              <w:rPr>
                <w:rFonts w:hint="eastAsia"/>
              </w:rPr>
              <w:t>非回购</w:t>
            </w:r>
            <w:r w:rsidRPr="00D12E83">
              <w:rPr>
                <w:rFonts w:hint="eastAsia"/>
              </w:rPr>
              <w:t>)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580538" w:rsidRDefault="00E73778" w:rsidP="00392716">
            <w:pPr>
              <w:rPr>
                <w:rFonts w:hint="eastAsia"/>
              </w:rPr>
            </w:pPr>
            <w:proofErr w:type="gramStart"/>
            <w:r w:rsidRPr="00580538">
              <w:rPr>
                <w:rFonts w:hint="eastAsia"/>
              </w:rPr>
              <w:t>湘电集团</w:t>
            </w:r>
            <w:proofErr w:type="gramEnd"/>
            <w:r w:rsidRPr="00580538">
              <w:rPr>
                <w:rFonts w:hint="eastAsia"/>
              </w:rPr>
              <w:t>有限公司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778" w:rsidRPr="00496C1E" w:rsidRDefault="00E73778" w:rsidP="003359AF">
            <w:pPr>
              <w:rPr>
                <w:rFonts w:hint="eastAsia"/>
              </w:rPr>
            </w:pPr>
            <w:r w:rsidRPr="00496C1E">
              <w:rPr>
                <w:rFonts w:hint="eastAsia"/>
              </w:rPr>
              <w:t>18</w:t>
            </w:r>
            <w:r w:rsidRPr="00496C1E">
              <w:rPr>
                <w:rFonts w:hint="eastAsia"/>
              </w:rPr>
              <w:t>湘</w:t>
            </w:r>
            <w:proofErr w:type="gramStart"/>
            <w:r w:rsidRPr="00496C1E">
              <w:rPr>
                <w:rFonts w:hint="eastAsia"/>
              </w:rPr>
              <w:t>湘</w:t>
            </w:r>
            <w:proofErr w:type="gramEnd"/>
            <w:r w:rsidRPr="00496C1E">
              <w:rPr>
                <w:rFonts w:hint="eastAsia"/>
              </w:rPr>
              <w:t>电集团</w:t>
            </w:r>
            <w:r w:rsidRPr="00496C1E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FE7B89" w:rsidRDefault="00E73778" w:rsidP="0008053A">
            <w:r w:rsidRPr="00FE7B89">
              <w:t>202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778" w:rsidRPr="00470067" w:rsidRDefault="00E73778" w:rsidP="00A30667">
            <w:pPr>
              <w:rPr>
                <w:rFonts w:hint="eastAsia"/>
              </w:rPr>
            </w:pPr>
            <w:r w:rsidRPr="00470067">
              <w:rPr>
                <w:rFonts w:hint="eastAsia"/>
              </w:rPr>
              <w:t>正常</w:t>
            </w:r>
          </w:p>
        </w:tc>
      </w:tr>
      <w:tr w:rsidR="00E73778" w:rsidTr="00E73778">
        <w:trPr>
          <w:trHeight w:val="240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D12E83" w:rsidRDefault="00E73778" w:rsidP="00DB2B9B">
            <w:pPr>
              <w:rPr>
                <w:rFonts w:hint="eastAsia"/>
              </w:rPr>
            </w:pPr>
            <w:r w:rsidRPr="00D12E83">
              <w:rPr>
                <w:rFonts w:hint="eastAsia"/>
              </w:rPr>
              <w:t>产业基金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580538" w:rsidRDefault="00E73778" w:rsidP="00392716">
            <w:pPr>
              <w:rPr>
                <w:rFonts w:hint="eastAsia"/>
              </w:rPr>
            </w:pPr>
            <w:r w:rsidRPr="00580538">
              <w:rPr>
                <w:rFonts w:hint="eastAsia"/>
              </w:rPr>
              <w:t>株洲市国有资产投资控股集团有限公司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778" w:rsidRPr="00496C1E" w:rsidRDefault="00E73778" w:rsidP="003359AF">
            <w:pPr>
              <w:rPr>
                <w:rFonts w:hint="eastAsia"/>
              </w:rPr>
            </w:pPr>
            <w:r w:rsidRPr="00496C1E">
              <w:rPr>
                <w:rFonts w:hint="eastAsia"/>
              </w:rPr>
              <w:t>15</w:t>
            </w:r>
            <w:proofErr w:type="gramStart"/>
            <w:r w:rsidRPr="00496C1E">
              <w:rPr>
                <w:rFonts w:hint="eastAsia"/>
              </w:rPr>
              <w:t>湘株国</w:t>
            </w:r>
            <w:proofErr w:type="gramEnd"/>
            <w:r w:rsidRPr="00496C1E">
              <w:rPr>
                <w:rFonts w:hint="eastAsia"/>
              </w:rPr>
              <w:t>投</w:t>
            </w:r>
            <w:r w:rsidRPr="00496C1E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FE7B89" w:rsidRDefault="00E73778" w:rsidP="0008053A">
            <w:r w:rsidRPr="00FE7B89">
              <w:t>140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778" w:rsidRPr="00470067" w:rsidRDefault="00E73778" w:rsidP="00A30667">
            <w:pPr>
              <w:rPr>
                <w:rFonts w:hint="eastAsia"/>
              </w:rPr>
            </w:pPr>
            <w:r w:rsidRPr="00470067">
              <w:rPr>
                <w:rFonts w:hint="eastAsia"/>
              </w:rPr>
              <w:t>正常</w:t>
            </w:r>
          </w:p>
        </w:tc>
      </w:tr>
      <w:tr w:rsidR="00E73778" w:rsidTr="00E73778">
        <w:trPr>
          <w:trHeight w:val="240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D12E83" w:rsidRDefault="00E73778" w:rsidP="00DB2B9B">
            <w:pPr>
              <w:rPr>
                <w:rFonts w:hint="eastAsia"/>
              </w:rPr>
            </w:pPr>
            <w:r w:rsidRPr="00D12E83">
              <w:rPr>
                <w:rFonts w:hint="eastAsia"/>
              </w:rPr>
              <w:t>产业基金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580538" w:rsidRDefault="00E73778" w:rsidP="00392716">
            <w:pPr>
              <w:rPr>
                <w:rFonts w:hint="eastAsia"/>
              </w:rPr>
            </w:pPr>
            <w:r w:rsidRPr="00580538">
              <w:rPr>
                <w:rFonts w:hint="eastAsia"/>
              </w:rPr>
              <w:t>株洲市国有资产投资控股集团有限公司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778" w:rsidRPr="00496C1E" w:rsidRDefault="00E73778" w:rsidP="003359AF">
            <w:pPr>
              <w:rPr>
                <w:rFonts w:hint="eastAsia"/>
              </w:rPr>
            </w:pPr>
            <w:r w:rsidRPr="00496C1E">
              <w:rPr>
                <w:rFonts w:hint="eastAsia"/>
              </w:rPr>
              <w:t>17</w:t>
            </w:r>
            <w:proofErr w:type="gramStart"/>
            <w:r w:rsidRPr="00496C1E">
              <w:rPr>
                <w:rFonts w:hint="eastAsia"/>
              </w:rPr>
              <w:t>湘株国</w:t>
            </w:r>
            <w:proofErr w:type="gramEnd"/>
            <w:r w:rsidRPr="00496C1E">
              <w:rPr>
                <w:rFonts w:hint="eastAsia"/>
              </w:rPr>
              <w:t>投</w:t>
            </w:r>
            <w:r w:rsidRPr="00496C1E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FE7B89" w:rsidRDefault="00E73778" w:rsidP="0008053A">
            <w:r w:rsidRPr="00FE7B89">
              <w:t>140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778" w:rsidRPr="00470067" w:rsidRDefault="00E73778" w:rsidP="00A30667">
            <w:pPr>
              <w:rPr>
                <w:rFonts w:hint="eastAsia"/>
              </w:rPr>
            </w:pPr>
            <w:r w:rsidRPr="00470067">
              <w:rPr>
                <w:rFonts w:hint="eastAsia"/>
              </w:rPr>
              <w:t>正常</w:t>
            </w:r>
          </w:p>
        </w:tc>
      </w:tr>
      <w:tr w:rsidR="00E73778" w:rsidTr="00E73778">
        <w:trPr>
          <w:trHeight w:val="240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D12E83" w:rsidRDefault="00E73778" w:rsidP="00DB2B9B">
            <w:pPr>
              <w:rPr>
                <w:rFonts w:hint="eastAsia"/>
              </w:rPr>
            </w:pPr>
            <w:r w:rsidRPr="00D12E83">
              <w:rPr>
                <w:rFonts w:hint="eastAsia"/>
              </w:rPr>
              <w:t>股权投资类</w:t>
            </w:r>
            <w:r w:rsidRPr="00D12E83">
              <w:rPr>
                <w:rFonts w:hint="eastAsia"/>
              </w:rPr>
              <w:t>(</w:t>
            </w:r>
            <w:r w:rsidRPr="00D12E83">
              <w:rPr>
                <w:rFonts w:hint="eastAsia"/>
              </w:rPr>
              <w:t>非回购</w:t>
            </w:r>
            <w:r w:rsidRPr="00D12E83">
              <w:rPr>
                <w:rFonts w:hint="eastAsia"/>
              </w:rPr>
              <w:t>)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Pr="00580538" w:rsidRDefault="00E73778" w:rsidP="00392716">
            <w:pPr>
              <w:rPr>
                <w:rFonts w:hint="eastAsia"/>
              </w:rPr>
            </w:pPr>
            <w:r w:rsidRPr="00580538">
              <w:rPr>
                <w:rFonts w:hint="eastAsia"/>
              </w:rPr>
              <w:t>中国水利水电第八工程局有限公司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778" w:rsidRPr="00496C1E" w:rsidRDefault="00E73778" w:rsidP="003359AF">
            <w:pPr>
              <w:rPr>
                <w:rFonts w:hint="eastAsia"/>
              </w:rPr>
            </w:pPr>
            <w:r w:rsidRPr="00496C1E">
              <w:rPr>
                <w:rFonts w:hint="eastAsia"/>
              </w:rPr>
              <w:t>17</w:t>
            </w:r>
            <w:r w:rsidRPr="00496C1E">
              <w:rPr>
                <w:rFonts w:hint="eastAsia"/>
              </w:rPr>
              <w:t>湘水电八局</w:t>
            </w:r>
            <w:r w:rsidRPr="00496C1E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778" w:rsidRDefault="00E73778" w:rsidP="0008053A">
            <w:r w:rsidRPr="00FE7B89">
              <w:t>92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778" w:rsidRDefault="00E73778" w:rsidP="00A30667">
            <w:r w:rsidRPr="00470067">
              <w:rPr>
                <w:rFonts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C8E" w:rsidRDefault="00790C8E" w:rsidP="00747E15">
      <w:r>
        <w:separator/>
      </w:r>
    </w:p>
  </w:endnote>
  <w:endnote w:type="continuationSeparator" w:id="0">
    <w:p w:rsidR="00790C8E" w:rsidRDefault="00790C8E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C8E" w:rsidRDefault="00790C8E" w:rsidP="00747E15">
      <w:r>
        <w:separator/>
      </w:r>
    </w:p>
  </w:footnote>
  <w:footnote w:type="continuationSeparator" w:id="0">
    <w:p w:rsidR="00790C8E" w:rsidRDefault="00790C8E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99E"/>
    <w:rsid w:val="00266DC8"/>
    <w:rsid w:val="00272D45"/>
    <w:rsid w:val="002748B0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0C8E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E6B9F"/>
    <w:rsid w:val="00AF4C42"/>
    <w:rsid w:val="00B020F5"/>
    <w:rsid w:val="00B126C7"/>
    <w:rsid w:val="00B15284"/>
    <w:rsid w:val="00B33523"/>
    <w:rsid w:val="00B4205F"/>
    <w:rsid w:val="00B42469"/>
    <w:rsid w:val="00B466B4"/>
    <w:rsid w:val="00B71F10"/>
    <w:rsid w:val="00B837A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B6511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3778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409</Words>
  <Characters>2336</Characters>
  <Application>Microsoft Office Word</Application>
  <DocSecurity>0</DocSecurity>
  <Lines>19</Lines>
  <Paragraphs>5</Paragraphs>
  <ScaleCrop>false</ScaleCrop>
  <Company>微软中国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2</cp:revision>
  <cp:lastPrinted>2019-01-03T08:39:00Z</cp:lastPrinted>
  <dcterms:created xsi:type="dcterms:W3CDTF">2020-09-07T09:14:00Z</dcterms:created>
  <dcterms:modified xsi:type="dcterms:W3CDTF">2020-09-07T09:14:00Z</dcterms:modified>
</cp:coreProperties>
</file>