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E8" w:rsidRDefault="00FF1D69" w:rsidP="00BC47E8">
      <w:pPr>
        <w:jc w:val="center"/>
        <w:rPr>
          <w:rFonts w:ascii="彩虹小标宋" w:eastAsia="彩虹小标宋"/>
          <w:sz w:val="28"/>
          <w:szCs w:val="28"/>
        </w:rPr>
      </w:pPr>
      <w:r w:rsidRPr="00FF1D69">
        <w:rPr>
          <w:rFonts w:ascii="彩虹小标宋" w:eastAsia="彩虹小标宋" w:hint="eastAsia"/>
          <w:sz w:val="28"/>
          <w:szCs w:val="28"/>
        </w:rPr>
        <w:t>中国建设银行青岛市分行“乾元-稳赢”</w:t>
      </w:r>
      <w:r>
        <w:rPr>
          <w:rFonts w:ascii="彩虹小标宋" w:eastAsia="彩虹小标宋" w:hint="eastAsia"/>
          <w:sz w:val="28"/>
          <w:szCs w:val="28"/>
        </w:rPr>
        <w:t>系列</w:t>
      </w:r>
      <w:r w:rsidR="00BC47E8" w:rsidRPr="00BC47E8">
        <w:rPr>
          <w:rFonts w:ascii="彩虹小标宋" w:eastAsia="彩虹小标宋" w:hint="eastAsia"/>
          <w:sz w:val="28"/>
          <w:szCs w:val="28"/>
        </w:rPr>
        <w:t>固定收益类</w:t>
      </w:r>
    </w:p>
    <w:p w:rsidR="00092A9B" w:rsidRDefault="00BC47E8" w:rsidP="00BC47E8">
      <w:pPr>
        <w:jc w:val="center"/>
        <w:rPr>
          <w:rFonts w:ascii="彩虹小标宋" w:eastAsia="彩虹小标宋"/>
          <w:sz w:val="28"/>
          <w:szCs w:val="28"/>
        </w:rPr>
      </w:pPr>
      <w:r w:rsidRPr="00BC47E8">
        <w:rPr>
          <w:rFonts w:ascii="彩虹小标宋" w:eastAsia="彩虹小标宋" w:hint="eastAsia"/>
          <w:sz w:val="28"/>
          <w:szCs w:val="28"/>
        </w:rPr>
        <w:t>封闭式净值型人民币理财产品净值公告</w:t>
      </w:r>
    </w:p>
    <w:p w:rsidR="00BC47E8" w:rsidRDefault="00BC47E8" w:rsidP="00BC47E8">
      <w:pPr>
        <w:snapToGrid w:val="0"/>
        <w:spacing w:line="360" w:lineRule="auto"/>
        <w:rPr>
          <w:rFonts w:ascii="彩虹粗仿宋" w:eastAsia="彩虹粗仿宋"/>
          <w:sz w:val="32"/>
        </w:rPr>
      </w:pPr>
    </w:p>
    <w:p w:rsidR="00BC47E8" w:rsidRDefault="00BC47E8" w:rsidP="00BC47E8">
      <w:pPr>
        <w:snapToGrid w:val="0"/>
        <w:spacing w:line="360" w:lineRule="auto"/>
        <w:rPr>
          <w:rFonts w:ascii="彩虹粗仿宋" w:eastAsia="彩虹粗仿宋"/>
          <w:sz w:val="32"/>
        </w:rPr>
      </w:pPr>
      <w:r w:rsidRPr="00BC47E8">
        <w:rPr>
          <w:rFonts w:ascii="彩虹粗仿宋" w:eastAsia="彩虹粗仿宋" w:hint="eastAsia"/>
          <w:sz w:val="32"/>
        </w:rPr>
        <w:t xml:space="preserve">尊敬的客户： </w:t>
      </w:r>
    </w:p>
    <w:p w:rsidR="00BC47E8" w:rsidRDefault="00FF1D69" w:rsidP="00FF1D69">
      <w:pPr>
        <w:snapToGrid w:val="0"/>
        <w:spacing w:line="360" w:lineRule="auto"/>
        <w:ind w:firstLineChars="200" w:firstLine="640"/>
        <w:rPr>
          <w:rFonts w:ascii="彩虹粗仿宋" w:eastAsia="彩虹粗仿宋"/>
          <w:sz w:val="32"/>
        </w:rPr>
      </w:pPr>
      <w:r w:rsidRPr="00FF1D69">
        <w:rPr>
          <w:rFonts w:ascii="彩虹粗仿宋" w:eastAsia="彩虹粗仿宋" w:hint="eastAsia"/>
          <w:sz w:val="32"/>
        </w:rPr>
        <w:t>中国建设银行青岛市分行“乾元-稳赢”系列固定收益类封闭式净值型人民币理财产品</w:t>
      </w:r>
      <w:r w:rsidR="00BC47E8" w:rsidRPr="00BC47E8">
        <w:rPr>
          <w:rFonts w:ascii="彩虹粗仿宋" w:eastAsia="彩虹粗仿宋" w:hint="eastAsia"/>
          <w:sz w:val="32"/>
        </w:rPr>
        <w:t>净值公布如下：</w:t>
      </w:r>
    </w:p>
    <w:tbl>
      <w:tblPr>
        <w:tblStyle w:val="a6"/>
        <w:tblW w:w="8777" w:type="dxa"/>
        <w:tblLayout w:type="fixed"/>
        <w:tblLook w:val="04A0"/>
      </w:tblPr>
      <w:tblGrid>
        <w:gridCol w:w="3227"/>
        <w:gridCol w:w="2835"/>
        <w:gridCol w:w="1276"/>
        <w:gridCol w:w="1439"/>
      </w:tblGrid>
      <w:tr w:rsidR="00BC47E8" w:rsidTr="00FF1D69">
        <w:trPr>
          <w:trHeight w:val="1120"/>
        </w:trPr>
        <w:tc>
          <w:tcPr>
            <w:tcW w:w="3227" w:type="dxa"/>
            <w:vAlign w:val="center"/>
          </w:tcPr>
          <w:p w:rsidR="00BC47E8" w:rsidRPr="00FF1D69" w:rsidRDefault="00BC47E8" w:rsidP="00BC47E8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产品名称</w:t>
            </w:r>
          </w:p>
        </w:tc>
        <w:tc>
          <w:tcPr>
            <w:tcW w:w="2835" w:type="dxa"/>
            <w:vAlign w:val="center"/>
          </w:tcPr>
          <w:p w:rsidR="00BC47E8" w:rsidRPr="00FF1D69" w:rsidRDefault="00BC47E8" w:rsidP="00BC47E8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产品编号</w:t>
            </w:r>
          </w:p>
        </w:tc>
        <w:tc>
          <w:tcPr>
            <w:tcW w:w="1276" w:type="dxa"/>
            <w:vAlign w:val="center"/>
          </w:tcPr>
          <w:p w:rsidR="00BC47E8" w:rsidRPr="00FF1D69" w:rsidRDefault="00BC47E8" w:rsidP="00BC47E8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日期</w:t>
            </w:r>
          </w:p>
        </w:tc>
        <w:tc>
          <w:tcPr>
            <w:tcW w:w="1439" w:type="dxa"/>
            <w:vAlign w:val="center"/>
          </w:tcPr>
          <w:p w:rsidR="00BC47E8" w:rsidRPr="00FF1D69" w:rsidRDefault="00BC47E8" w:rsidP="00BC47E8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单位净值</w:t>
            </w:r>
          </w:p>
        </w:tc>
      </w:tr>
      <w:tr w:rsidR="00BC47E8" w:rsidTr="00FF1D69">
        <w:trPr>
          <w:trHeight w:val="975"/>
        </w:trPr>
        <w:tc>
          <w:tcPr>
            <w:tcW w:w="3227" w:type="dxa"/>
            <w:vAlign w:val="center"/>
          </w:tcPr>
          <w:p w:rsidR="00BC47E8" w:rsidRPr="00FF1D69" w:rsidRDefault="00BC47E8" w:rsidP="00BC47E8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中国建设银行青岛市分行“乾元-稳赢”(私募)固定收益类</w:t>
            </w:r>
          </w:p>
          <w:p w:rsidR="00BC47E8" w:rsidRPr="00FF1D69" w:rsidRDefault="00BC47E8" w:rsidP="00BC47E8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封闭式净值型人民币理财产品2018年第1期</w:t>
            </w:r>
          </w:p>
        </w:tc>
        <w:tc>
          <w:tcPr>
            <w:tcW w:w="2835" w:type="dxa"/>
            <w:vAlign w:val="center"/>
          </w:tcPr>
          <w:p w:rsidR="00BC47E8" w:rsidRDefault="00BC47E8" w:rsidP="00BC47E8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BC47E8">
              <w:rPr>
                <w:sz w:val="24"/>
              </w:rPr>
              <w:t>QDQYWYSM18060001</w:t>
            </w:r>
          </w:p>
        </w:tc>
        <w:tc>
          <w:tcPr>
            <w:tcW w:w="1276" w:type="dxa"/>
            <w:vAlign w:val="center"/>
          </w:tcPr>
          <w:p w:rsidR="00BC47E8" w:rsidRDefault="00BC47E8" w:rsidP="00BC47E8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2018-9-30</w:t>
            </w:r>
          </w:p>
        </w:tc>
        <w:tc>
          <w:tcPr>
            <w:tcW w:w="1439" w:type="dxa"/>
            <w:vAlign w:val="center"/>
          </w:tcPr>
          <w:p w:rsidR="00BC47E8" w:rsidRDefault="00FF1D69" w:rsidP="00BC47E8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FF1D69">
              <w:rPr>
                <w:sz w:val="24"/>
              </w:rPr>
              <w:t>1.014482</w:t>
            </w:r>
          </w:p>
        </w:tc>
      </w:tr>
      <w:tr w:rsidR="00BC47E8" w:rsidTr="00FF1D69">
        <w:trPr>
          <w:trHeight w:val="1011"/>
        </w:trPr>
        <w:tc>
          <w:tcPr>
            <w:tcW w:w="3227" w:type="dxa"/>
            <w:vAlign w:val="center"/>
          </w:tcPr>
          <w:p w:rsidR="00BC47E8" w:rsidRPr="00FF1D69" w:rsidRDefault="00BC47E8" w:rsidP="00BC47E8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中国建设银行青岛市分行“乾元-稳赢”(私募)固定收益类</w:t>
            </w:r>
          </w:p>
          <w:p w:rsidR="00BC47E8" w:rsidRPr="00FF1D69" w:rsidRDefault="00BC47E8" w:rsidP="00BC47E8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封闭式净值型人民币理财产品2018年第2期</w:t>
            </w:r>
          </w:p>
        </w:tc>
        <w:tc>
          <w:tcPr>
            <w:tcW w:w="2835" w:type="dxa"/>
            <w:vAlign w:val="center"/>
          </w:tcPr>
          <w:p w:rsidR="00BC47E8" w:rsidRDefault="00BC47E8" w:rsidP="00BC47E8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BC47E8">
              <w:rPr>
                <w:sz w:val="24"/>
              </w:rPr>
              <w:t>QDQYWYSM180800001</w:t>
            </w:r>
          </w:p>
        </w:tc>
        <w:tc>
          <w:tcPr>
            <w:tcW w:w="1276" w:type="dxa"/>
            <w:vAlign w:val="center"/>
          </w:tcPr>
          <w:p w:rsidR="00BC47E8" w:rsidRDefault="00BC47E8" w:rsidP="00BC47E8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2018-9-30</w:t>
            </w:r>
          </w:p>
        </w:tc>
        <w:tc>
          <w:tcPr>
            <w:tcW w:w="1439" w:type="dxa"/>
            <w:vAlign w:val="center"/>
          </w:tcPr>
          <w:p w:rsidR="00BC47E8" w:rsidRDefault="00FF1D69" w:rsidP="00BC47E8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FF1D69">
              <w:rPr>
                <w:sz w:val="24"/>
              </w:rPr>
              <w:t>1.004053</w:t>
            </w:r>
          </w:p>
        </w:tc>
      </w:tr>
    </w:tbl>
    <w:p w:rsidR="00BC47E8" w:rsidRDefault="00BC47E8" w:rsidP="00BC47E8">
      <w:pPr>
        <w:snapToGrid w:val="0"/>
        <w:spacing w:line="360" w:lineRule="auto"/>
        <w:ind w:firstLineChars="200" w:firstLine="480"/>
        <w:rPr>
          <w:sz w:val="24"/>
        </w:rPr>
      </w:pPr>
    </w:p>
    <w:p w:rsidR="00FF1D69" w:rsidRDefault="00FF1D69" w:rsidP="00BC47E8">
      <w:pPr>
        <w:snapToGrid w:val="0"/>
        <w:spacing w:line="360" w:lineRule="auto"/>
        <w:ind w:firstLineChars="200" w:firstLine="480"/>
        <w:rPr>
          <w:sz w:val="24"/>
        </w:rPr>
      </w:pPr>
    </w:p>
    <w:p w:rsidR="00FF1D69" w:rsidRDefault="00FF1D69" w:rsidP="00FF1D69">
      <w:pPr>
        <w:pStyle w:val="Default"/>
      </w:pPr>
    </w:p>
    <w:p w:rsidR="00FF1D69" w:rsidRDefault="00FF1D69" w:rsidP="00FF1D69">
      <w:pPr>
        <w:snapToGrid w:val="0"/>
        <w:spacing w:line="360" w:lineRule="auto"/>
        <w:ind w:firstLineChars="200" w:firstLine="420"/>
        <w:rPr>
          <w:rFonts w:ascii="彩虹粗仿宋" w:eastAsia="彩虹粗仿宋"/>
          <w:sz w:val="32"/>
        </w:rPr>
      </w:pPr>
      <w:r>
        <w:t xml:space="preserve"> </w:t>
      </w:r>
      <w:r w:rsidRPr="00FF1D69">
        <w:rPr>
          <w:rFonts w:ascii="彩虹粗仿宋" w:eastAsia="彩虹粗仿宋" w:hint="eastAsia"/>
          <w:sz w:val="32"/>
        </w:rPr>
        <w:t>特此公告</w:t>
      </w:r>
      <w:r w:rsidRPr="00FF1D69">
        <w:rPr>
          <w:rFonts w:ascii="彩虹粗仿宋" w:eastAsia="彩虹粗仿宋"/>
          <w:sz w:val="32"/>
        </w:rPr>
        <w:t xml:space="preserve"> </w:t>
      </w:r>
    </w:p>
    <w:p w:rsidR="00FF1D69" w:rsidRDefault="00FF1D69" w:rsidP="00FF1D69">
      <w:pPr>
        <w:snapToGrid w:val="0"/>
        <w:spacing w:line="360" w:lineRule="auto"/>
        <w:ind w:firstLineChars="200" w:firstLine="640"/>
        <w:rPr>
          <w:rFonts w:ascii="彩虹粗仿宋" w:eastAsia="彩虹粗仿宋"/>
          <w:sz w:val="32"/>
        </w:rPr>
      </w:pPr>
    </w:p>
    <w:p w:rsidR="00FF1D69" w:rsidRDefault="00FF1D69" w:rsidP="00FF1D69">
      <w:pPr>
        <w:snapToGrid w:val="0"/>
        <w:spacing w:line="360" w:lineRule="auto"/>
        <w:ind w:firstLineChars="200" w:firstLine="640"/>
        <w:jc w:val="right"/>
        <w:rPr>
          <w:rFonts w:ascii="彩虹粗仿宋" w:eastAsia="彩虹粗仿宋"/>
          <w:sz w:val="32"/>
        </w:rPr>
      </w:pPr>
    </w:p>
    <w:p w:rsidR="00FF1D69" w:rsidRPr="00FF1D69" w:rsidRDefault="00FF1D69" w:rsidP="00FF1D69">
      <w:pPr>
        <w:snapToGrid w:val="0"/>
        <w:spacing w:line="360" w:lineRule="auto"/>
        <w:ind w:firstLineChars="200" w:firstLine="640"/>
        <w:jc w:val="right"/>
        <w:rPr>
          <w:rFonts w:ascii="彩虹粗仿宋" w:eastAsia="彩虹粗仿宋"/>
          <w:sz w:val="32"/>
        </w:rPr>
      </w:pPr>
    </w:p>
    <w:p w:rsidR="00FF1D69" w:rsidRPr="00FF1D69" w:rsidRDefault="00FF1D69" w:rsidP="00FF1D69">
      <w:pPr>
        <w:snapToGrid w:val="0"/>
        <w:spacing w:line="360" w:lineRule="auto"/>
        <w:ind w:firstLineChars="200" w:firstLine="640"/>
        <w:jc w:val="right"/>
        <w:rPr>
          <w:rFonts w:ascii="彩虹粗仿宋" w:eastAsia="彩虹粗仿宋"/>
          <w:sz w:val="32"/>
        </w:rPr>
      </w:pPr>
      <w:r w:rsidRPr="00FF1D69">
        <w:rPr>
          <w:rFonts w:ascii="彩虹粗仿宋" w:eastAsia="彩虹粗仿宋" w:hint="eastAsia"/>
          <w:sz w:val="32"/>
        </w:rPr>
        <w:t>中国建设银行股份有限公司</w:t>
      </w:r>
      <w:r>
        <w:rPr>
          <w:rFonts w:ascii="彩虹粗仿宋" w:eastAsia="彩虹粗仿宋" w:hint="eastAsia"/>
          <w:sz w:val="32"/>
        </w:rPr>
        <w:t>青岛市</w:t>
      </w:r>
      <w:r w:rsidRPr="00FF1D69">
        <w:rPr>
          <w:rFonts w:ascii="彩虹粗仿宋" w:eastAsia="彩虹粗仿宋" w:hint="eastAsia"/>
          <w:sz w:val="32"/>
        </w:rPr>
        <w:t>分行</w:t>
      </w:r>
    </w:p>
    <w:p w:rsidR="00FF1D69" w:rsidRPr="00FF1D69" w:rsidRDefault="00FF1D69" w:rsidP="00FF1D69">
      <w:pPr>
        <w:snapToGrid w:val="0"/>
        <w:spacing w:line="360" w:lineRule="auto"/>
        <w:ind w:firstLineChars="200" w:firstLine="640"/>
        <w:jc w:val="right"/>
        <w:rPr>
          <w:rFonts w:ascii="彩虹粗仿宋" w:eastAsia="彩虹粗仿宋"/>
          <w:sz w:val="32"/>
        </w:rPr>
      </w:pPr>
      <w:r w:rsidRPr="00FF1D69">
        <w:rPr>
          <w:rFonts w:ascii="彩虹粗仿宋" w:eastAsia="彩虹粗仿宋"/>
          <w:sz w:val="32"/>
        </w:rPr>
        <w:t>2018</w:t>
      </w:r>
      <w:r w:rsidRPr="00FF1D69">
        <w:rPr>
          <w:rFonts w:ascii="彩虹粗仿宋" w:eastAsia="彩虹粗仿宋" w:hint="eastAsia"/>
          <w:sz w:val="32"/>
        </w:rPr>
        <w:t>年</w:t>
      </w:r>
      <w:r>
        <w:rPr>
          <w:rFonts w:ascii="彩虹粗仿宋" w:eastAsia="彩虹粗仿宋" w:hint="eastAsia"/>
          <w:sz w:val="32"/>
        </w:rPr>
        <w:t>10</w:t>
      </w:r>
      <w:r w:rsidRPr="00FF1D69">
        <w:rPr>
          <w:rFonts w:ascii="彩虹粗仿宋" w:eastAsia="彩虹粗仿宋" w:hint="eastAsia"/>
          <w:sz w:val="32"/>
        </w:rPr>
        <w:t>月</w:t>
      </w:r>
      <w:r>
        <w:rPr>
          <w:rFonts w:ascii="彩虹粗仿宋" w:eastAsia="彩虹粗仿宋" w:hint="eastAsia"/>
          <w:sz w:val="32"/>
        </w:rPr>
        <w:t>1</w:t>
      </w:r>
      <w:r w:rsidR="00AC6317">
        <w:rPr>
          <w:rFonts w:ascii="彩虹粗仿宋" w:eastAsia="彩虹粗仿宋" w:hint="eastAsia"/>
          <w:sz w:val="32"/>
        </w:rPr>
        <w:t>2</w:t>
      </w:r>
      <w:r w:rsidRPr="00FF1D69">
        <w:rPr>
          <w:rFonts w:ascii="彩虹粗仿宋" w:eastAsia="彩虹粗仿宋" w:hint="eastAsia"/>
          <w:sz w:val="32"/>
        </w:rPr>
        <w:t>日</w:t>
      </w:r>
    </w:p>
    <w:sectPr w:rsidR="00FF1D69" w:rsidRPr="00FF1D69" w:rsidSect="00092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662" w:rsidRDefault="00B42662" w:rsidP="00BC47E8">
      <w:r>
        <w:separator/>
      </w:r>
    </w:p>
  </w:endnote>
  <w:endnote w:type="continuationSeparator" w:id="1">
    <w:p w:rsidR="00B42662" w:rsidRDefault="00B42662" w:rsidP="00BC4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662" w:rsidRDefault="00B42662" w:rsidP="00BC47E8">
      <w:r>
        <w:separator/>
      </w:r>
    </w:p>
  </w:footnote>
  <w:footnote w:type="continuationSeparator" w:id="1">
    <w:p w:rsidR="00B42662" w:rsidRDefault="00B42662" w:rsidP="00BC47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7E8"/>
    <w:rsid w:val="00092A9B"/>
    <w:rsid w:val="00A46DD6"/>
    <w:rsid w:val="00AC6317"/>
    <w:rsid w:val="00B42662"/>
    <w:rsid w:val="00BC47E8"/>
    <w:rsid w:val="00FF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47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4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47E8"/>
    <w:rPr>
      <w:sz w:val="18"/>
      <w:szCs w:val="18"/>
    </w:rPr>
  </w:style>
  <w:style w:type="paragraph" w:customStyle="1" w:styleId="Default">
    <w:name w:val="Default"/>
    <w:rsid w:val="00BC47E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Body Text Indent"/>
    <w:basedOn w:val="a"/>
    <w:link w:val="Char1"/>
    <w:semiHidden/>
    <w:unhideWhenUsed/>
    <w:qFormat/>
    <w:rsid w:val="00BC47E8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semiHidden/>
    <w:qFormat/>
    <w:rsid w:val="00BC47E8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BC47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投资银行业务部</dc:creator>
  <cp:keywords/>
  <dc:description/>
  <cp:lastModifiedBy>投资银行业务部</cp:lastModifiedBy>
  <cp:revision>3</cp:revision>
  <dcterms:created xsi:type="dcterms:W3CDTF">2018-10-10T06:37:00Z</dcterms:created>
  <dcterms:modified xsi:type="dcterms:W3CDTF">2018-10-12T07:31:00Z</dcterms:modified>
</cp:coreProperties>
</file>