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D51" w:rsidRDefault="00A472C4" w:rsidP="00885BBE">
      <w:pPr>
        <w:pStyle w:val="a4"/>
        <w:tabs>
          <w:tab w:val="left" w:pos="720"/>
        </w:tabs>
        <w:spacing w:after="0"/>
        <w:ind w:leftChars="0" w:left="0"/>
        <w:jc w:val="center"/>
        <w:rPr>
          <w:rFonts w:ascii="宋体" w:hAnsi="宋体"/>
          <w:b/>
          <w:sz w:val="30"/>
          <w:szCs w:val="30"/>
        </w:rPr>
      </w:pPr>
      <w:r w:rsidRPr="007B3D51">
        <w:rPr>
          <w:rFonts w:ascii="宋体" w:hAnsi="宋体" w:hint="eastAsia"/>
          <w:b/>
          <w:sz w:val="30"/>
          <w:szCs w:val="30"/>
        </w:rPr>
        <w:t>中国建设银行陕西分行“乾元”保本型人民币201</w:t>
      </w:r>
      <w:r w:rsidR="005E0276">
        <w:rPr>
          <w:rFonts w:ascii="宋体" w:hAnsi="宋体" w:hint="eastAsia"/>
          <w:b/>
          <w:sz w:val="30"/>
          <w:szCs w:val="30"/>
        </w:rPr>
        <w:t>5</w:t>
      </w:r>
      <w:r w:rsidRPr="007B3D51">
        <w:rPr>
          <w:rFonts w:ascii="宋体" w:hAnsi="宋体" w:hint="eastAsia"/>
          <w:b/>
          <w:sz w:val="30"/>
          <w:szCs w:val="30"/>
        </w:rPr>
        <w:t>年第</w:t>
      </w:r>
      <w:r w:rsidR="00895F48">
        <w:rPr>
          <w:rFonts w:ascii="宋体" w:hAnsi="宋体" w:hint="eastAsia"/>
          <w:b/>
          <w:color w:val="0000FF"/>
          <w:sz w:val="30"/>
          <w:szCs w:val="30"/>
        </w:rPr>
        <w:t>6</w:t>
      </w:r>
      <w:r w:rsidR="0054394F">
        <w:rPr>
          <w:rFonts w:ascii="宋体" w:hAnsi="宋体" w:hint="eastAsia"/>
          <w:b/>
          <w:color w:val="0000FF"/>
          <w:sz w:val="30"/>
          <w:szCs w:val="30"/>
        </w:rPr>
        <w:t>29</w:t>
      </w:r>
      <w:r w:rsidRPr="007B3D51">
        <w:rPr>
          <w:rFonts w:ascii="宋体" w:hAnsi="宋体" w:hint="eastAsia"/>
          <w:b/>
          <w:sz w:val="30"/>
          <w:szCs w:val="30"/>
        </w:rPr>
        <w:t>期</w:t>
      </w:r>
    </w:p>
    <w:p w:rsidR="00A472C4" w:rsidRPr="007B3D51" w:rsidRDefault="00A472C4" w:rsidP="00885BBE">
      <w:pPr>
        <w:pStyle w:val="a4"/>
        <w:tabs>
          <w:tab w:val="left" w:pos="720"/>
        </w:tabs>
        <w:spacing w:after="0"/>
        <w:ind w:leftChars="0" w:left="0"/>
        <w:jc w:val="center"/>
        <w:rPr>
          <w:rFonts w:ascii="宋体" w:hAnsi="宋体"/>
          <w:b/>
          <w:sz w:val="30"/>
          <w:szCs w:val="30"/>
        </w:rPr>
      </w:pPr>
      <w:r w:rsidRPr="007B3D51">
        <w:rPr>
          <w:rFonts w:ascii="宋体" w:hAnsi="宋体" w:hint="eastAsia"/>
          <w:b/>
          <w:sz w:val="30"/>
          <w:szCs w:val="30"/>
        </w:rPr>
        <w:t>理财产品说明书</w:t>
      </w:r>
    </w:p>
    <w:p w:rsidR="00885BBE" w:rsidRDefault="00885BBE" w:rsidP="00885BBE">
      <w:pPr>
        <w:pStyle w:val="a4"/>
        <w:tabs>
          <w:tab w:val="left" w:pos="720"/>
        </w:tabs>
        <w:outlineLvl w:val="0"/>
        <w:rPr>
          <w:rFonts w:ascii="黑体" w:eastAsia="黑体" w:hAnsi="黑体"/>
          <w:b/>
          <w:szCs w:val="20"/>
        </w:rPr>
      </w:pPr>
    </w:p>
    <w:p w:rsidR="00A472C4" w:rsidRPr="002F1C18" w:rsidRDefault="00A472C4" w:rsidP="00885BBE">
      <w:pPr>
        <w:pStyle w:val="a4"/>
        <w:tabs>
          <w:tab w:val="left" w:pos="720"/>
        </w:tabs>
        <w:outlineLvl w:val="0"/>
        <w:rPr>
          <w:rFonts w:ascii="黑体" w:eastAsia="黑体" w:hAnsi="黑体"/>
          <w:b/>
          <w:szCs w:val="20"/>
        </w:rPr>
      </w:pPr>
      <w:r w:rsidRPr="002F1C18">
        <w:rPr>
          <w:rFonts w:ascii="黑体" w:eastAsia="黑体" w:hAnsi="黑体" w:hint="eastAsia"/>
          <w:b/>
          <w:szCs w:val="20"/>
        </w:rPr>
        <w:t>一、产品要素</w:t>
      </w:r>
    </w:p>
    <w:tbl>
      <w:tblPr>
        <w:tblW w:w="4900" w:type="pct"/>
        <w:jc w:val="center"/>
        <w:tblInd w:w="15" w:type="dxa"/>
        <w:tblCellMar>
          <w:left w:w="0" w:type="dxa"/>
          <w:right w:w="0" w:type="dxa"/>
        </w:tblCellMar>
        <w:tblLook w:val="0000"/>
      </w:tblPr>
      <w:tblGrid>
        <w:gridCol w:w="1532"/>
        <w:gridCol w:w="6637"/>
      </w:tblGrid>
      <w:tr w:rsidR="00A472C4" w:rsidRPr="00B134C2" w:rsidTr="00A06310">
        <w:trPr>
          <w:cantSplit/>
          <w:trHeight w:val="315"/>
          <w:jc w:val="center"/>
        </w:trPr>
        <w:tc>
          <w:tcPr>
            <w:tcW w:w="1532" w:type="dxa"/>
            <w:tcBorders>
              <w:top w:val="single" w:sz="12"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A472C4" w:rsidRPr="00B134C2" w:rsidRDefault="00A472C4" w:rsidP="00885BBE">
            <w:pPr>
              <w:adjustRightInd w:val="0"/>
              <w:snapToGrid w:val="0"/>
              <w:jc w:val="center"/>
              <w:rPr>
                <w:rFonts w:ascii="宋体" w:hAnsi="宋体"/>
                <w:sz w:val="18"/>
                <w:szCs w:val="18"/>
              </w:rPr>
            </w:pPr>
            <w:r w:rsidRPr="00B134C2">
              <w:rPr>
                <w:rFonts w:ascii="宋体" w:hAnsi="宋体" w:hint="eastAsia"/>
                <w:sz w:val="18"/>
                <w:szCs w:val="18"/>
              </w:rPr>
              <w:t>产品名称</w:t>
            </w:r>
          </w:p>
        </w:tc>
        <w:tc>
          <w:tcPr>
            <w:tcW w:w="6637" w:type="dxa"/>
            <w:tcBorders>
              <w:top w:val="single" w:sz="12" w:space="0" w:color="auto"/>
              <w:left w:val="nil"/>
              <w:bottom w:val="single" w:sz="4" w:space="0" w:color="auto"/>
              <w:right w:val="single" w:sz="12" w:space="0" w:color="auto"/>
            </w:tcBorders>
            <w:tcMar>
              <w:top w:w="15" w:type="dxa"/>
              <w:left w:w="15" w:type="dxa"/>
              <w:bottom w:w="0" w:type="dxa"/>
              <w:right w:w="15" w:type="dxa"/>
            </w:tcMar>
            <w:vAlign w:val="center"/>
          </w:tcPr>
          <w:p w:rsidR="00A472C4" w:rsidRPr="00B134C2" w:rsidRDefault="00A472C4" w:rsidP="00B84982">
            <w:pPr>
              <w:adjustRightInd w:val="0"/>
              <w:snapToGrid w:val="0"/>
              <w:jc w:val="center"/>
              <w:rPr>
                <w:rFonts w:ascii="宋体" w:hAnsi="宋体"/>
                <w:sz w:val="18"/>
                <w:szCs w:val="18"/>
              </w:rPr>
            </w:pPr>
            <w:r w:rsidRPr="00B134C2">
              <w:rPr>
                <w:rFonts w:ascii="宋体" w:hAnsi="宋体" w:hint="eastAsia"/>
                <w:sz w:val="18"/>
                <w:szCs w:val="18"/>
              </w:rPr>
              <w:t>中国建设银行陕西分行“乾元”保本型理财产品</w:t>
            </w:r>
            <w:r w:rsidRPr="00B134C2">
              <w:rPr>
                <w:rFonts w:ascii="宋体" w:hAnsi="宋体" w:hint="eastAsia"/>
                <w:color w:val="0000FF"/>
                <w:sz w:val="18"/>
                <w:szCs w:val="18"/>
              </w:rPr>
              <w:t>201</w:t>
            </w:r>
            <w:r w:rsidR="005E0276">
              <w:rPr>
                <w:rFonts w:ascii="宋体" w:hAnsi="宋体" w:hint="eastAsia"/>
                <w:color w:val="0000FF"/>
                <w:sz w:val="18"/>
                <w:szCs w:val="18"/>
              </w:rPr>
              <w:t>5</w:t>
            </w:r>
            <w:r w:rsidRPr="00B134C2">
              <w:rPr>
                <w:rFonts w:ascii="宋体" w:hAnsi="宋体" w:hint="eastAsia"/>
                <w:sz w:val="18"/>
                <w:szCs w:val="18"/>
              </w:rPr>
              <w:t>年第</w:t>
            </w:r>
            <w:r w:rsidR="00895F48">
              <w:rPr>
                <w:rFonts w:ascii="宋体" w:hAnsi="宋体" w:hint="eastAsia"/>
                <w:color w:val="0000FF"/>
                <w:sz w:val="18"/>
                <w:szCs w:val="18"/>
              </w:rPr>
              <w:t>6</w:t>
            </w:r>
            <w:r w:rsidR="0054394F">
              <w:rPr>
                <w:rFonts w:ascii="宋体" w:hAnsi="宋体" w:hint="eastAsia"/>
                <w:color w:val="0000FF"/>
                <w:sz w:val="18"/>
                <w:szCs w:val="18"/>
              </w:rPr>
              <w:t>29</w:t>
            </w:r>
            <w:r w:rsidRPr="00B134C2">
              <w:rPr>
                <w:rFonts w:ascii="宋体" w:hAnsi="宋体" w:hint="eastAsia"/>
                <w:sz w:val="18"/>
                <w:szCs w:val="18"/>
              </w:rPr>
              <w:t>期</w:t>
            </w:r>
          </w:p>
        </w:tc>
      </w:tr>
      <w:tr w:rsidR="00A472C4" w:rsidRPr="00B134C2" w:rsidTr="00A06310">
        <w:trPr>
          <w:cantSplit/>
          <w:trHeight w:val="315"/>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A472C4" w:rsidRPr="00B134C2" w:rsidRDefault="00A472C4" w:rsidP="00885BBE">
            <w:pPr>
              <w:adjustRightInd w:val="0"/>
              <w:snapToGrid w:val="0"/>
              <w:jc w:val="center"/>
              <w:rPr>
                <w:rFonts w:ascii="宋体" w:hAnsi="宋体"/>
                <w:sz w:val="18"/>
                <w:szCs w:val="18"/>
              </w:rPr>
            </w:pPr>
            <w:r w:rsidRPr="00B134C2">
              <w:rPr>
                <w:rFonts w:ascii="宋体" w:hAnsi="宋体" w:hint="eastAsia"/>
                <w:sz w:val="18"/>
                <w:szCs w:val="18"/>
              </w:rPr>
              <w:t>产品编号</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A472C4" w:rsidRPr="00DD036C" w:rsidRDefault="0054394F" w:rsidP="0040510C">
            <w:pPr>
              <w:jc w:val="center"/>
              <w:rPr>
                <w:rFonts w:ascii="宋体" w:hAnsi="宋体"/>
                <w:color w:val="0000FF"/>
                <w:sz w:val="18"/>
                <w:szCs w:val="18"/>
              </w:rPr>
            </w:pPr>
            <w:r w:rsidRPr="0054394F">
              <w:rPr>
                <w:rFonts w:ascii="宋体" w:hAnsi="宋体"/>
                <w:color w:val="0000FF"/>
                <w:sz w:val="18"/>
                <w:szCs w:val="18"/>
              </w:rPr>
              <w:t>SN072015629366D0</w:t>
            </w:r>
            <w:r>
              <w:rPr>
                <w:rFonts w:ascii="宋体" w:hAnsi="宋体" w:hint="eastAsia"/>
                <w:color w:val="0000FF"/>
                <w:sz w:val="18"/>
                <w:szCs w:val="18"/>
              </w:rPr>
              <w:t>1</w:t>
            </w:r>
          </w:p>
        </w:tc>
      </w:tr>
      <w:tr w:rsidR="00A472C4" w:rsidRPr="00B134C2" w:rsidTr="00A06310">
        <w:trPr>
          <w:cantSplit/>
          <w:trHeight w:val="315"/>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A472C4" w:rsidRPr="00B134C2" w:rsidRDefault="00A472C4" w:rsidP="00885BBE">
            <w:pPr>
              <w:adjustRightInd w:val="0"/>
              <w:snapToGrid w:val="0"/>
              <w:jc w:val="center"/>
              <w:rPr>
                <w:rFonts w:ascii="宋体" w:hAnsi="宋体"/>
                <w:sz w:val="18"/>
                <w:szCs w:val="18"/>
              </w:rPr>
            </w:pPr>
            <w:r w:rsidRPr="00B134C2">
              <w:rPr>
                <w:rFonts w:ascii="宋体" w:hAnsi="宋体" w:hint="eastAsia"/>
                <w:sz w:val="18"/>
                <w:szCs w:val="18"/>
              </w:rPr>
              <w:t>产品类型</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A472C4" w:rsidRPr="00B134C2" w:rsidRDefault="00A472C4" w:rsidP="00885BBE">
            <w:pPr>
              <w:adjustRightInd w:val="0"/>
              <w:snapToGrid w:val="0"/>
              <w:jc w:val="center"/>
              <w:rPr>
                <w:rFonts w:ascii="宋体" w:hAnsi="宋体"/>
                <w:b/>
                <w:sz w:val="18"/>
                <w:szCs w:val="18"/>
              </w:rPr>
            </w:pPr>
            <w:r w:rsidRPr="00B134C2">
              <w:rPr>
                <w:rFonts w:ascii="宋体" w:hAnsi="宋体" w:hint="eastAsia"/>
                <w:b/>
                <w:sz w:val="18"/>
                <w:szCs w:val="18"/>
              </w:rPr>
              <w:t>保本浮动收益型产品</w:t>
            </w:r>
          </w:p>
        </w:tc>
      </w:tr>
      <w:tr w:rsidR="00A472C4" w:rsidRPr="00B134C2" w:rsidTr="00A06310">
        <w:trPr>
          <w:cantSplit/>
          <w:trHeight w:val="315"/>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A472C4" w:rsidRPr="00B134C2" w:rsidRDefault="00A472C4" w:rsidP="00885BBE">
            <w:pPr>
              <w:adjustRightInd w:val="0"/>
              <w:snapToGrid w:val="0"/>
              <w:jc w:val="center"/>
              <w:rPr>
                <w:rFonts w:ascii="宋体" w:hAnsi="宋体"/>
                <w:sz w:val="18"/>
                <w:szCs w:val="18"/>
              </w:rPr>
            </w:pPr>
            <w:r w:rsidRPr="00B134C2">
              <w:rPr>
                <w:rFonts w:ascii="宋体" w:hAnsi="宋体" w:hint="eastAsia"/>
                <w:sz w:val="18"/>
                <w:szCs w:val="18"/>
              </w:rPr>
              <w:t>目标客户</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A472C4" w:rsidRPr="00B134C2" w:rsidRDefault="00A472C4" w:rsidP="00885BBE">
            <w:pPr>
              <w:adjustRightInd w:val="0"/>
              <w:snapToGrid w:val="0"/>
              <w:jc w:val="center"/>
              <w:rPr>
                <w:rFonts w:ascii="宋体" w:hAnsi="宋体"/>
                <w:b/>
                <w:sz w:val="18"/>
                <w:szCs w:val="18"/>
              </w:rPr>
            </w:pPr>
            <w:r w:rsidRPr="00B134C2">
              <w:rPr>
                <w:rFonts w:ascii="宋体" w:hAnsi="宋体" w:hint="eastAsia"/>
                <w:sz w:val="18"/>
                <w:szCs w:val="18"/>
              </w:rPr>
              <w:t>机构类客户</w:t>
            </w:r>
          </w:p>
        </w:tc>
      </w:tr>
      <w:tr w:rsidR="00A472C4" w:rsidRPr="00B134C2" w:rsidTr="00A06310">
        <w:trPr>
          <w:cantSplit/>
          <w:trHeight w:val="315"/>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A472C4" w:rsidRPr="00B134C2" w:rsidRDefault="00A472C4" w:rsidP="00885BBE">
            <w:pPr>
              <w:adjustRightInd w:val="0"/>
              <w:snapToGrid w:val="0"/>
              <w:jc w:val="center"/>
              <w:rPr>
                <w:rFonts w:ascii="宋体" w:hAnsi="宋体"/>
                <w:sz w:val="18"/>
                <w:szCs w:val="18"/>
              </w:rPr>
            </w:pPr>
            <w:r w:rsidRPr="00B134C2">
              <w:rPr>
                <w:rFonts w:ascii="宋体" w:hAnsi="宋体" w:hint="eastAsia"/>
                <w:sz w:val="18"/>
                <w:szCs w:val="18"/>
              </w:rPr>
              <w:t>内部风险评级</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A472C4" w:rsidRPr="00B134C2" w:rsidRDefault="00724B04" w:rsidP="00885BBE">
            <w:pPr>
              <w:adjustRightInd w:val="0"/>
              <w:snapToGrid w:val="0"/>
              <w:jc w:val="center"/>
              <w:rPr>
                <w:rFonts w:ascii="宋体" w:hAnsi="宋体"/>
                <w:sz w:val="18"/>
                <w:szCs w:val="18"/>
              </w:rPr>
            </w:pPr>
            <w:r>
              <w:rPr>
                <w:rFonts w:ascii="宋体" w:hAnsi="宋体"/>
                <w:noProof/>
                <w:sz w:val="18"/>
                <w:szCs w:val="18"/>
              </w:rPr>
              <w:drawing>
                <wp:inline distT="0" distB="0" distL="0" distR="0">
                  <wp:extent cx="190500" cy="1905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A472C4" w:rsidRPr="00B134C2">
              <w:rPr>
                <w:rFonts w:ascii="宋体" w:hAnsi="宋体" w:hint="eastAsia"/>
                <w:sz w:val="18"/>
                <w:szCs w:val="18"/>
              </w:rPr>
              <w:t>（一盏警示灯）</w:t>
            </w:r>
          </w:p>
        </w:tc>
      </w:tr>
      <w:tr w:rsidR="00A472C4" w:rsidRPr="00B134C2" w:rsidTr="00A06310">
        <w:trPr>
          <w:cantSplit/>
          <w:trHeight w:val="315"/>
          <w:jc w:val="center"/>
        </w:trPr>
        <w:tc>
          <w:tcPr>
            <w:tcW w:w="1532"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A472C4" w:rsidRPr="00B134C2" w:rsidRDefault="00A472C4" w:rsidP="00885BBE">
            <w:pPr>
              <w:adjustRightInd w:val="0"/>
              <w:snapToGrid w:val="0"/>
              <w:jc w:val="center"/>
              <w:rPr>
                <w:rFonts w:ascii="宋体" w:hAnsi="宋体"/>
                <w:sz w:val="18"/>
                <w:szCs w:val="18"/>
              </w:rPr>
            </w:pPr>
            <w:r w:rsidRPr="00B134C2">
              <w:rPr>
                <w:rFonts w:ascii="宋体" w:hAnsi="宋体" w:hint="eastAsia"/>
                <w:sz w:val="18"/>
                <w:szCs w:val="18"/>
              </w:rPr>
              <w:t>本金及收益币种</w:t>
            </w:r>
          </w:p>
        </w:tc>
        <w:tc>
          <w:tcPr>
            <w:tcW w:w="6637"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A472C4" w:rsidRPr="00B134C2" w:rsidRDefault="00A472C4" w:rsidP="00885BBE">
            <w:pPr>
              <w:adjustRightInd w:val="0"/>
              <w:snapToGrid w:val="0"/>
              <w:jc w:val="center"/>
              <w:rPr>
                <w:rFonts w:ascii="宋体" w:hAnsi="宋体"/>
                <w:sz w:val="18"/>
                <w:szCs w:val="18"/>
              </w:rPr>
            </w:pPr>
            <w:r w:rsidRPr="00B134C2">
              <w:rPr>
                <w:rFonts w:ascii="宋体" w:hAnsi="宋体" w:hint="eastAsia"/>
                <w:sz w:val="18"/>
                <w:szCs w:val="18"/>
              </w:rPr>
              <w:t>人民币</w:t>
            </w:r>
          </w:p>
        </w:tc>
      </w:tr>
      <w:tr w:rsidR="00A472C4" w:rsidRPr="00B134C2" w:rsidTr="00A06310">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A472C4" w:rsidRPr="00B134C2" w:rsidDel="00866BB4" w:rsidRDefault="00A472C4" w:rsidP="00885BBE">
            <w:pPr>
              <w:adjustRightInd w:val="0"/>
              <w:snapToGrid w:val="0"/>
              <w:jc w:val="center"/>
              <w:rPr>
                <w:rFonts w:ascii="宋体" w:hAnsi="宋体"/>
                <w:sz w:val="18"/>
                <w:szCs w:val="18"/>
              </w:rPr>
            </w:pPr>
            <w:r w:rsidRPr="00B134C2">
              <w:rPr>
                <w:rFonts w:ascii="宋体" w:hAnsi="宋体" w:hint="eastAsia"/>
                <w:sz w:val="18"/>
                <w:szCs w:val="18"/>
              </w:rPr>
              <w:t>产品规模</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A472C4" w:rsidRPr="00B134C2" w:rsidRDefault="0055075B" w:rsidP="0054394F">
            <w:pPr>
              <w:contextualSpacing/>
              <w:jc w:val="center"/>
              <w:rPr>
                <w:rFonts w:ascii="宋体" w:hAnsi="宋体"/>
                <w:b/>
                <w:sz w:val="18"/>
                <w:szCs w:val="18"/>
              </w:rPr>
            </w:pPr>
            <w:r w:rsidRPr="00B134C2">
              <w:rPr>
                <w:rFonts w:ascii="宋体" w:hAnsi="宋体" w:hint="eastAsia"/>
                <w:sz w:val="18"/>
                <w:szCs w:val="18"/>
              </w:rPr>
              <w:t>产品规模上限为</w:t>
            </w:r>
            <w:r w:rsidR="00724B04">
              <w:rPr>
                <w:rFonts w:ascii="宋体" w:hAnsi="宋体" w:hint="eastAsia"/>
                <w:color w:val="0000FF"/>
                <w:sz w:val="18"/>
                <w:szCs w:val="18"/>
              </w:rPr>
              <w:t>1</w:t>
            </w:r>
            <w:r w:rsidR="0054394F">
              <w:rPr>
                <w:rFonts w:ascii="宋体" w:hAnsi="宋体" w:hint="eastAsia"/>
                <w:color w:val="0000FF"/>
                <w:sz w:val="18"/>
                <w:szCs w:val="18"/>
              </w:rPr>
              <w:t>2.28</w:t>
            </w:r>
            <w:r w:rsidR="00724B04">
              <w:rPr>
                <w:rFonts w:ascii="宋体" w:hAnsi="宋体" w:hint="eastAsia"/>
                <w:color w:val="0000FF"/>
                <w:sz w:val="18"/>
                <w:szCs w:val="18"/>
              </w:rPr>
              <w:t>亿</w:t>
            </w:r>
            <w:r w:rsidRPr="00B134C2">
              <w:rPr>
                <w:rFonts w:ascii="宋体" w:hAnsi="宋体" w:hint="eastAsia"/>
                <w:sz w:val="18"/>
                <w:szCs w:val="18"/>
              </w:rPr>
              <w:t>元，下限为</w:t>
            </w:r>
            <w:r w:rsidR="0054394F">
              <w:rPr>
                <w:rFonts w:ascii="宋体" w:hAnsi="宋体" w:hint="eastAsia"/>
                <w:color w:val="0000FF"/>
                <w:sz w:val="18"/>
                <w:szCs w:val="18"/>
              </w:rPr>
              <w:t>1亿</w:t>
            </w:r>
            <w:r w:rsidR="009137C9" w:rsidRPr="00B134C2">
              <w:rPr>
                <w:rFonts w:ascii="宋体" w:hAnsi="宋体" w:hint="eastAsia"/>
                <w:sz w:val="18"/>
                <w:szCs w:val="18"/>
              </w:rPr>
              <w:t>元</w:t>
            </w:r>
            <w:r w:rsidRPr="00B134C2">
              <w:rPr>
                <w:rFonts w:ascii="宋体" w:hAnsi="宋体" w:hint="eastAsia"/>
                <w:sz w:val="18"/>
                <w:szCs w:val="18"/>
              </w:rPr>
              <w:t>。</w:t>
            </w:r>
          </w:p>
        </w:tc>
      </w:tr>
      <w:tr w:rsidR="00A472C4" w:rsidRPr="00B134C2" w:rsidTr="00A06310">
        <w:trPr>
          <w:cantSplit/>
          <w:trHeight w:val="724"/>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A472C4" w:rsidRPr="00B134C2" w:rsidRDefault="00A472C4" w:rsidP="00885BBE">
            <w:pPr>
              <w:adjustRightInd w:val="0"/>
              <w:snapToGrid w:val="0"/>
              <w:jc w:val="center"/>
              <w:rPr>
                <w:rFonts w:ascii="宋体" w:hAnsi="宋体"/>
                <w:sz w:val="18"/>
                <w:szCs w:val="18"/>
              </w:rPr>
            </w:pPr>
            <w:r w:rsidRPr="00B134C2">
              <w:rPr>
                <w:rFonts w:ascii="宋体" w:hAnsi="宋体" w:hint="eastAsia"/>
                <w:sz w:val="18"/>
                <w:szCs w:val="18"/>
              </w:rPr>
              <w:t>客户预期</w:t>
            </w:r>
          </w:p>
          <w:p w:rsidR="00A472C4" w:rsidRPr="00B134C2" w:rsidDel="00866BB4" w:rsidRDefault="00A472C4" w:rsidP="00885BBE">
            <w:pPr>
              <w:adjustRightInd w:val="0"/>
              <w:snapToGrid w:val="0"/>
              <w:jc w:val="center"/>
              <w:rPr>
                <w:rFonts w:ascii="宋体" w:hAnsi="宋体"/>
                <w:sz w:val="18"/>
                <w:szCs w:val="18"/>
              </w:rPr>
            </w:pPr>
            <w:r w:rsidRPr="00B134C2">
              <w:rPr>
                <w:rFonts w:ascii="宋体" w:hAnsi="宋体" w:hint="eastAsia"/>
                <w:sz w:val="18"/>
                <w:szCs w:val="18"/>
              </w:rPr>
              <w:t>年化收益率</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A472C4" w:rsidRPr="00523265" w:rsidRDefault="0054394F" w:rsidP="003E56A5">
            <w:pPr>
              <w:contextualSpacing/>
              <w:jc w:val="center"/>
            </w:pPr>
            <w:r>
              <w:rPr>
                <w:rFonts w:ascii="宋体" w:hAnsi="宋体" w:hint="eastAsia"/>
                <w:color w:val="0000FF"/>
                <w:sz w:val="18"/>
                <w:szCs w:val="18"/>
              </w:rPr>
              <w:t>3.70</w:t>
            </w:r>
            <w:r w:rsidR="0040510C" w:rsidRPr="003E56A5">
              <w:rPr>
                <w:rFonts w:ascii="宋体" w:hAnsi="宋体" w:hint="eastAsia"/>
                <w:color w:val="0000FF"/>
                <w:sz w:val="18"/>
                <w:szCs w:val="18"/>
              </w:rPr>
              <w:t>%</w:t>
            </w:r>
          </w:p>
        </w:tc>
      </w:tr>
      <w:tr w:rsidR="00A472C4" w:rsidRPr="00B134C2" w:rsidTr="00A06310">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A472C4" w:rsidRPr="00B134C2" w:rsidRDefault="00A472C4" w:rsidP="00885BBE">
            <w:pPr>
              <w:contextualSpacing/>
              <w:jc w:val="center"/>
              <w:rPr>
                <w:rFonts w:ascii="宋体" w:hAnsi="宋体"/>
                <w:sz w:val="18"/>
                <w:szCs w:val="18"/>
              </w:rPr>
            </w:pPr>
            <w:r w:rsidRPr="00B134C2">
              <w:rPr>
                <w:rFonts w:ascii="宋体" w:hAnsi="宋体" w:hint="eastAsia"/>
                <w:sz w:val="18"/>
                <w:szCs w:val="18"/>
              </w:rPr>
              <w:t>产品募集期</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8470E9" w:rsidRPr="002A3702" w:rsidRDefault="002A3702" w:rsidP="002A3702">
            <w:pPr>
              <w:contextualSpacing/>
              <w:jc w:val="center"/>
              <w:rPr>
                <w:rFonts w:ascii="宋体" w:hAnsi="宋体"/>
                <w:color w:val="0000FF"/>
                <w:sz w:val="18"/>
                <w:szCs w:val="18"/>
              </w:rPr>
            </w:pPr>
            <w:r w:rsidRPr="00B134C2">
              <w:rPr>
                <w:rFonts w:ascii="宋体" w:hAnsi="宋体" w:hint="eastAsia"/>
                <w:color w:val="0000FF"/>
                <w:sz w:val="18"/>
                <w:szCs w:val="18"/>
              </w:rPr>
              <w:t>201</w:t>
            </w:r>
            <w:r>
              <w:rPr>
                <w:rFonts w:ascii="宋体" w:hAnsi="宋体" w:hint="eastAsia"/>
                <w:color w:val="0000FF"/>
                <w:sz w:val="18"/>
                <w:szCs w:val="18"/>
              </w:rPr>
              <w:t>5</w:t>
            </w:r>
            <w:r w:rsidRPr="00B134C2">
              <w:rPr>
                <w:rFonts w:ascii="宋体" w:hAnsi="宋体" w:hint="eastAsia"/>
                <w:color w:val="0000FF"/>
                <w:sz w:val="18"/>
                <w:szCs w:val="18"/>
              </w:rPr>
              <w:t>年</w:t>
            </w:r>
            <w:r>
              <w:rPr>
                <w:rFonts w:ascii="宋体" w:hAnsi="宋体" w:hint="eastAsia"/>
                <w:color w:val="0000FF"/>
                <w:sz w:val="18"/>
                <w:szCs w:val="18"/>
              </w:rPr>
              <w:t>12</w:t>
            </w:r>
            <w:r w:rsidRPr="00B134C2">
              <w:rPr>
                <w:rFonts w:ascii="宋体" w:hAnsi="宋体" w:hint="eastAsia"/>
                <w:color w:val="0000FF"/>
                <w:sz w:val="18"/>
                <w:szCs w:val="18"/>
              </w:rPr>
              <w:t>月</w:t>
            </w:r>
            <w:r>
              <w:rPr>
                <w:rFonts w:ascii="宋体" w:hAnsi="宋体" w:hint="eastAsia"/>
                <w:color w:val="0000FF"/>
                <w:sz w:val="18"/>
                <w:szCs w:val="18"/>
              </w:rPr>
              <w:t>14</w:t>
            </w:r>
            <w:r w:rsidRPr="00B134C2">
              <w:rPr>
                <w:rFonts w:ascii="宋体" w:hAnsi="宋体" w:hint="eastAsia"/>
                <w:color w:val="0000FF"/>
                <w:sz w:val="18"/>
                <w:szCs w:val="18"/>
              </w:rPr>
              <w:t>日9：00</w:t>
            </w:r>
            <w:r>
              <w:rPr>
                <w:rFonts w:ascii="宋体" w:hAnsi="宋体" w:hint="eastAsia"/>
                <w:color w:val="0000FF"/>
                <w:sz w:val="18"/>
                <w:szCs w:val="18"/>
              </w:rPr>
              <w:t xml:space="preserve"> 至17：30</w:t>
            </w:r>
          </w:p>
          <w:p w:rsidR="00A472C4" w:rsidRPr="00B134C2" w:rsidRDefault="00935FAF" w:rsidP="00885BBE">
            <w:pPr>
              <w:contextualSpacing/>
              <w:jc w:val="center"/>
              <w:rPr>
                <w:rFonts w:ascii="宋体" w:hAnsi="宋体"/>
                <w:b/>
                <w:sz w:val="18"/>
                <w:szCs w:val="18"/>
              </w:rPr>
            </w:pPr>
            <w:r w:rsidRPr="00B134C2">
              <w:rPr>
                <w:rFonts w:ascii="宋体" w:hAnsi="宋体" w:hint="eastAsia"/>
                <w:b/>
                <w:sz w:val="18"/>
                <w:szCs w:val="18"/>
              </w:rPr>
              <w:t>产品募集期内，客户将认购资金缴存至客户指定账户之日起至本产品成立日（不含）期间，客户可获得认购资金的活期存款利息。募集期内的利息不计入投资本金。</w:t>
            </w:r>
          </w:p>
        </w:tc>
      </w:tr>
      <w:tr w:rsidR="00A472C4" w:rsidRPr="00B134C2" w:rsidTr="00A06310">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A472C4" w:rsidRPr="00B134C2" w:rsidRDefault="00A472C4" w:rsidP="00885BBE">
            <w:pPr>
              <w:contextualSpacing/>
              <w:jc w:val="center"/>
              <w:rPr>
                <w:rFonts w:ascii="宋体" w:hAnsi="宋体"/>
                <w:sz w:val="18"/>
                <w:szCs w:val="18"/>
              </w:rPr>
            </w:pPr>
            <w:r w:rsidRPr="00B134C2">
              <w:rPr>
                <w:rFonts w:ascii="宋体" w:hAnsi="宋体" w:hint="eastAsia"/>
                <w:sz w:val="18"/>
                <w:szCs w:val="18"/>
              </w:rPr>
              <w:t>产品收益及</w:t>
            </w:r>
          </w:p>
          <w:p w:rsidR="00A472C4" w:rsidRPr="00B134C2" w:rsidRDefault="00A472C4" w:rsidP="00885BBE">
            <w:pPr>
              <w:contextualSpacing/>
              <w:jc w:val="center"/>
              <w:rPr>
                <w:rFonts w:ascii="宋体" w:hAnsi="宋体"/>
                <w:sz w:val="18"/>
                <w:szCs w:val="18"/>
              </w:rPr>
            </w:pPr>
            <w:r w:rsidRPr="00B134C2">
              <w:rPr>
                <w:rFonts w:ascii="宋体" w:hAnsi="宋体" w:hint="eastAsia"/>
                <w:sz w:val="18"/>
                <w:szCs w:val="18"/>
              </w:rPr>
              <w:t>计息规则</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bottom"/>
          </w:tcPr>
          <w:p w:rsidR="00A472C4" w:rsidRPr="00B134C2" w:rsidRDefault="00A472C4" w:rsidP="00885BBE">
            <w:pPr>
              <w:contextualSpacing/>
              <w:jc w:val="left"/>
              <w:rPr>
                <w:rFonts w:ascii="宋体" w:hAnsi="宋体"/>
                <w:sz w:val="18"/>
                <w:szCs w:val="18"/>
              </w:rPr>
            </w:pPr>
            <w:r w:rsidRPr="00B134C2">
              <w:rPr>
                <w:rFonts w:ascii="宋体" w:hAnsi="宋体" w:hint="eastAsia"/>
                <w:sz w:val="18"/>
                <w:szCs w:val="18"/>
              </w:rPr>
              <w:t>1.根据客户的投资本金、每笔投资本金的投资天数及实际的年化收益率计算收益；</w:t>
            </w:r>
          </w:p>
          <w:p w:rsidR="00A472C4" w:rsidRPr="00B134C2" w:rsidRDefault="00A472C4" w:rsidP="00885BBE">
            <w:pPr>
              <w:contextualSpacing/>
              <w:jc w:val="left"/>
              <w:rPr>
                <w:rFonts w:ascii="宋体" w:hAnsi="宋体"/>
                <w:sz w:val="18"/>
                <w:szCs w:val="18"/>
              </w:rPr>
            </w:pPr>
            <w:r w:rsidRPr="00B134C2">
              <w:rPr>
                <w:rFonts w:ascii="宋体" w:hAnsi="宋体" w:hint="eastAsia"/>
                <w:sz w:val="18"/>
                <w:szCs w:val="18"/>
              </w:rPr>
              <w:t>2.募集期内按照活期存款利率计息，募集期内的利息不计入投资本金。</w:t>
            </w:r>
          </w:p>
        </w:tc>
      </w:tr>
      <w:tr w:rsidR="00A472C4" w:rsidRPr="00B134C2" w:rsidTr="00A06310">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A472C4" w:rsidRPr="00B134C2" w:rsidRDefault="00A472C4" w:rsidP="00885BBE">
            <w:pPr>
              <w:adjustRightInd w:val="0"/>
              <w:snapToGrid w:val="0"/>
              <w:jc w:val="center"/>
              <w:rPr>
                <w:rFonts w:ascii="宋体" w:hAnsi="宋体"/>
                <w:sz w:val="18"/>
                <w:szCs w:val="18"/>
              </w:rPr>
            </w:pPr>
            <w:r w:rsidRPr="00B134C2">
              <w:rPr>
                <w:rFonts w:ascii="宋体" w:hAnsi="宋体" w:hint="eastAsia"/>
                <w:sz w:val="18"/>
                <w:szCs w:val="18"/>
              </w:rPr>
              <w:t>产品成立日</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A472C4" w:rsidRPr="00B134C2" w:rsidDel="0090277B" w:rsidRDefault="002A3702" w:rsidP="002A3702">
            <w:pPr>
              <w:adjustRightInd w:val="0"/>
              <w:snapToGrid w:val="0"/>
              <w:jc w:val="center"/>
              <w:rPr>
                <w:rFonts w:ascii="宋体" w:hAnsi="宋体"/>
                <w:color w:val="0000FF"/>
                <w:sz w:val="18"/>
                <w:szCs w:val="18"/>
              </w:rPr>
            </w:pPr>
            <w:r w:rsidRPr="00B134C2">
              <w:rPr>
                <w:rFonts w:ascii="宋体" w:hAnsi="宋体" w:hint="eastAsia"/>
                <w:color w:val="0000FF"/>
                <w:sz w:val="18"/>
                <w:szCs w:val="18"/>
              </w:rPr>
              <w:t>201</w:t>
            </w:r>
            <w:r>
              <w:rPr>
                <w:rFonts w:ascii="宋体" w:hAnsi="宋体" w:hint="eastAsia"/>
                <w:color w:val="0000FF"/>
                <w:sz w:val="18"/>
                <w:szCs w:val="18"/>
              </w:rPr>
              <w:t>5</w:t>
            </w:r>
            <w:r w:rsidRPr="00B134C2">
              <w:rPr>
                <w:rFonts w:ascii="宋体" w:hAnsi="宋体" w:hint="eastAsia"/>
                <w:color w:val="0000FF"/>
                <w:sz w:val="18"/>
                <w:szCs w:val="18"/>
              </w:rPr>
              <w:t>年</w:t>
            </w:r>
            <w:r>
              <w:rPr>
                <w:rFonts w:ascii="宋体" w:hAnsi="宋体" w:hint="eastAsia"/>
                <w:color w:val="0000FF"/>
                <w:sz w:val="18"/>
                <w:szCs w:val="18"/>
              </w:rPr>
              <w:t>12</w:t>
            </w:r>
            <w:r w:rsidRPr="00B134C2">
              <w:rPr>
                <w:rFonts w:ascii="宋体" w:hAnsi="宋体" w:hint="eastAsia"/>
                <w:color w:val="0000FF"/>
                <w:sz w:val="18"/>
                <w:szCs w:val="18"/>
              </w:rPr>
              <w:t>月</w:t>
            </w:r>
            <w:r>
              <w:rPr>
                <w:rFonts w:ascii="宋体" w:hAnsi="宋体" w:hint="eastAsia"/>
                <w:color w:val="0000FF"/>
                <w:sz w:val="18"/>
                <w:szCs w:val="18"/>
              </w:rPr>
              <w:t>14</w:t>
            </w:r>
            <w:r w:rsidRPr="00B134C2">
              <w:rPr>
                <w:rFonts w:ascii="宋体" w:hAnsi="宋体" w:hint="eastAsia"/>
                <w:color w:val="0000FF"/>
                <w:sz w:val="18"/>
                <w:szCs w:val="18"/>
              </w:rPr>
              <w:t>日</w:t>
            </w:r>
          </w:p>
        </w:tc>
      </w:tr>
      <w:tr w:rsidR="00A472C4" w:rsidRPr="00B134C2" w:rsidTr="00A06310">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A472C4" w:rsidRPr="00B134C2" w:rsidDel="00866BB4" w:rsidRDefault="00A472C4" w:rsidP="00885BBE">
            <w:pPr>
              <w:contextualSpacing/>
              <w:jc w:val="center"/>
              <w:rPr>
                <w:rFonts w:ascii="宋体" w:hAnsi="宋体"/>
                <w:sz w:val="18"/>
                <w:szCs w:val="18"/>
              </w:rPr>
            </w:pPr>
            <w:r w:rsidRPr="00B134C2">
              <w:rPr>
                <w:rFonts w:ascii="宋体" w:hAnsi="宋体" w:hint="eastAsia"/>
                <w:sz w:val="18"/>
                <w:szCs w:val="18"/>
              </w:rPr>
              <w:t>产品期限</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A472C4" w:rsidRPr="00B134C2" w:rsidRDefault="00895F48" w:rsidP="008E36DD">
            <w:pPr>
              <w:contextualSpacing/>
              <w:jc w:val="center"/>
              <w:rPr>
                <w:rFonts w:ascii="宋体" w:hAnsi="宋体"/>
                <w:color w:val="0000FF"/>
                <w:sz w:val="18"/>
                <w:szCs w:val="18"/>
              </w:rPr>
            </w:pPr>
            <w:r>
              <w:rPr>
                <w:rFonts w:ascii="宋体" w:hAnsi="宋体" w:hint="eastAsia"/>
                <w:color w:val="0000FF"/>
                <w:sz w:val="18"/>
                <w:szCs w:val="18"/>
              </w:rPr>
              <w:t>366</w:t>
            </w:r>
            <w:r w:rsidR="00A472C4" w:rsidRPr="00B134C2">
              <w:rPr>
                <w:rFonts w:ascii="宋体" w:hAnsi="宋体" w:hint="eastAsia"/>
                <w:color w:val="0000FF"/>
                <w:sz w:val="18"/>
                <w:szCs w:val="18"/>
              </w:rPr>
              <w:t>天</w:t>
            </w:r>
          </w:p>
        </w:tc>
      </w:tr>
      <w:tr w:rsidR="00A472C4" w:rsidRPr="00B134C2" w:rsidTr="00A06310">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A472C4" w:rsidRPr="00B134C2" w:rsidRDefault="00A472C4" w:rsidP="00885BBE">
            <w:pPr>
              <w:contextualSpacing/>
              <w:jc w:val="center"/>
              <w:rPr>
                <w:rFonts w:ascii="宋体" w:hAnsi="宋体"/>
                <w:sz w:val="18"/>
                <w:szCs w:val="18"/>
              </w:rPr>
            </w:pPr>
            <w:r w:rsidRPr="00B134C2">
              <w:rPr>
                <w:rFonts w:ascii="宋体" w:hAnsi="宋体" w:hint="eastAsia"/>
                <w:sz w:val="18"/>
                <w:szCs w:val="18"/>
              </w:rPr>
              <w:t>产品到期日</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A472C4" w:rsidRPr="00B134C2" w:rsidRDefault="00F403FD" w:rsidP="007A2575">
            <w:pPr>
              <w:contextualSpacing/>
              <w:jc w:val="center"/>
              <w:rPr>
                <w:rFonts w:ascii="宋体" w:hAnsi="宋体"/>
                <w:color w:val="0000FF"/>
                <w:sz w:val="18"/>
                <w:szCs w:val="18"/>
              </w:rPr>
            </w:pPr>
            <w:r>
              <w:rPr>
                <w:rFonts w:ascii="宋体" w:hAnsi="宋体" w:hint="eastAsia"/>
                <w:color w:val="0000FF"/>
                <w:sz w:val="18"/>
                <w:szCs w:val="18"/>
              </w:rPr>
              <w:t>2016年12月14日</w:t>
            </w:r>
          </w:p>
        </w:tc>
      </w:tr>
      <w:tr w:rsidR="00A472C4" w:rsidRPr="00B134C2" w:rsidTr="00A06310">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A472C4" w:rsidRPr="00B134C2" w:rsidRDefault="00A472C4" w:rsidP="00885BBE">
            <w:pPr>
              <w:contextualSpacing/>
              <w:jc w:val="center"/>
              <w:rPr>
                <w:rFonts w:ascii="宋体" w:hAnsi="宋体"/>
                <w:sz w:val="18"/>
                <w:szCs w:val="18"/>
              </w:rPr>
            </w:pPr>
            <w:r w:rsidRPr="00B134C2">
              <w:rPr>
                <w:rFonts w:ascii="宋体" w:hAnsi="宋体" w:hint="eastAsia"/>
                <w:sz w:val="18"/>
                <w:szCs w:val="18"/>
              </w:rPr>
              <w:t>认购起点金额</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A472C4" w:rsidRPr="00B134C2" w:rsidRDefault="00B57AA4" w:rsidP="007A2575">
            <w:pPr>
              <w:contextualSpacing/>
              <w:jc w:val="center"/>
              <w:rPr>
                <w:rFonts w:ascii="宋体" w:hAnsi="宋体"/>
                <w:sz w:val="18"/>
                <w:szCs w:val="18"/>
              </w:rPr>
            </w:pPr>
            <w:r w:rsidRPr="00B134C2">
              <w:rPr>
                <w:rFonts w:ascii="宋体" w:hAnsi="宋体" w:hint="eastAsia"/>
                <w:sz w:val="18"/>
                <w:szCs w:val="18"/>
              </w:rPr>
              <w:t>起点金额为</w:t>
            </w:r>
            <w:r w:rsidR="00895F48">
              <w:rPr>
                <w:rFonts w:ascii="宋体" w:hAnsi="宋体" w:hint="eastAsia"/>
                <w:color w:val="0000FF"/>
                <w:sz w:val="18"/>
                <w:szCs w:val="18"/>
              </w:rPr>
              <w:t>1000</w:t>
            </w:r>
            <w:r w:rsidR="007D0257" w:rsidRPr="007A2575">
              <w:rPr>
                <w:rFonts w:ascii="宋体" w:hAnsi="宋体" w:hint="eastAsia"/>
                <w:color w:val="0000FF"/>
                <w:sz w:val="18"/>
                <w:szCs w:val="18"/>
              </w:rPr>
              <w:t>万</w:t>
            </w:r>
            <w:r w:rsidRPr="00B134C2">
              <w:rPr>
                <w:rFonts w:ascii="宋体" w:hAnsi="宋体" w:hint="eastAsia"/>
                <w:sz w:val="18"/>
                <w:szCs w:val="18"/>
              </w:rPr>
              <w:t>元</w:t>
            </w:r>
            <w:r w:rsidR="00B928B1">
              <w:rPr>
                <w:rFonts w:ascii="宋体" w:hAnsi="宋体" w:hint="eastAsia"/>
                <w:sz w:val="18"/>
                <w:szCs w:val="18"/>
              </w:rPr>
              <w:t>，以</w:t>
            </w:r>
            <w:r w:rsidR="00C03D1C">
              <w:rPr>
                <w:rFonts w:ascii="宋体" w:hAnsi="宋体" w:hint="eastAsia"/>
                <w:sz w:val="18"/>
                <w:szCs w:val="18"/>
              </w:rPr>
              <w:t>1</w:t>
            </w:r>
            <w:r w:rsidR="00B928B1">
              <w:rPr>
                <w:rFonts w:ascii="宋体" w:hAnsi="宋体" w:hint="eastAsia"/>
                <w:sz w:val="18"/>
                <w:szCs w:val="18"/>
              </w:rPr>
              <w:t>万元整数倍递增</w:t>
            </w:r>
          </w:p>
        </w:tc>
      </w:tr>
      <w:tr w:rsidR="00A472C4" w:rsidRPr="00B134C2" w:rsidTr="00A06310">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A472C4" w:rsidRPr="00B134C2" w:rsidRDefault="00A472C4" w:rsidP="00885BBE">
            <w:pPr>
              <w:contextualSpacing/>
              <w:jc w:val="center"/>
              <w:rPr>
                <w:rFonts w:ascii="宋体" w:hAnsi="宋体"/>
                <w:sz w:val="18"/>
                <w:szCs w:val="18"/>
              </w:rPr>
            </w:pPr>
            <w:r w:rsidRPr="00B134C2">
              <w:rPr>
                <w:rFonts w:ascii="宋体" w:hAnsi="宋体" w:hint="eastAsia"/>
                <w:sz w:val="18"/>
                <w:szCs w:val="18"/>
              </w:rPr>
              <w:t>销售地区</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A472C4" w:rsidRPr="00B134C2" w:rsidRDefault="00A472C4" w:rsidP="00885BBE">
            <w:pPr>
              <w:contextualSpacing/>
              <w:jc w:val="center"/>
              <w:rPr>
                <w:rFonts w:ascii="宋体" w:hAnsi="宋体"/>
                <w:sz w:val="18"/>
                <w:szCs w:val="18"/>
              </w:rPr>
            </w:pPr>
            <w:r w:rsidRPr="00B134C2">
              <w:rPr>
                <w:rFonts w:ascii="宋体" w:hAnsi="宋体" w:hint="eastAsia"/>
                <w:sz w:val="18"/>
                <w:szCs w:val="18"/>
              </w:rPr>
              <w:t>陕西分行</w:t>
            </w:r>
          </w:p>
        </w:tc>
      </w:tr>
      <w:tr w:rsidR="00A472C4" w:rsidRPr="00B134C2" w:rsidTr="00233077">
        <w:trPr>
          <w:cantSplit/>
          <w:trHeight w:val="443"/>
          <w:jc w:val="center"/>
        </w:trPr>
        <w:tc>
          <w:tcPr>
            <w:tcW w:w="1532"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A472C4" w:rsidRPr="00B134C2" w:rsidRDefault="00A472C4" w:rsidP="00885BBE">
            <w:pPr>
              <w:contextualSpacing/>
              <w:jc w:val="center"/>
              <w:rPr>
                <w:rFonts w:ascii="宋体" w:hAnsi="宋体"/>
                <w:sz w:val="18"/>
                <w:szCs w:val="18"/>
              </w:rPr>
            </w:pPr>
            <w:r w:rsidRPr="00B134C2">
              <w:rPr>
                <w:rFonts w:ascii="宋体" w:hAnsi="宋体" w:hint="eastAsia"/>
                <w:sz w:val="18"/>
                <w:szCs w:val="18"/>
              </w:rPr>
              <w:t>附属条款</w:t>
            </w:r>
          </w:p>
        </w:tc>
        <w:tc>
          <w:tcPr>
            <w:tcW w:w="6637"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A472C4" w:rsidRPr="00B134C2" w:rsidRDefault="00A472C4" w:rsidP="00885BBE">
            <w:pPr>
              <w:contextualSpacing/>
              <w:jc w:val="center"/>
              <w:rPr>
                <w:rFonts w:ascii="宋体" w:hAnsi="宋体"/>
                <w:sz w:val="18"/>
                <w:szCs w:val="18"/>
              </w:rPr>
            </w:pPr>
            <w:r w:rsidRPr="00B134C2">
              <w:rPr>
                <w:rFonts w:ascii="宋体" w:hAnsi="宋体"/>
                <w:sz w:val="18"/>
                <w:szCs w:val="18"/>
              </w:rPr>
              <w:t>单个机构客</w:t>
            </w:r>
            <w:r w:rsidR="00322160" w:rsidRPr="00B134C2">
              <w:rPr>
                <w:rFonts w:ascii="宋体" w:hAnsi="宋体" w:hint="eastAsia"/>
                <w:sz w:val="18"/>
                <w:szCs w:val="18"/>
              </w:rPr>
              <w:t>户</w:t>
            </w:r>
            <w:r w:rsidRPr="00B134C2">
              <w:rPr>
                <w:rFonts w:ascii="宋体" w:hAnsi="宋体"/>
                <w:sz w:val="18"/>
                <w:szCs w:val="18"/>
              </w:rPr>
              <w:t>无最高投资限额</w:t>
            </w:r>
            <w:r w:rsidRPr="00B134C2">
              <w:rPr>
                <w:rFonts w:ascii="宋体" w:hAnsi="宋体" w:hint="eastAsia"/>
                <w:sz w:val="18"/>
                <w:szCs w:val="18"/>
              </w:rPr>
              <w:t>，但是不能超过本产品规模上限</w:t>
            </w:r>
            <w:r w:rsidRPr="00B134C2">
              <w:rPr>
                <w:rFonts w:ascii="宋体" w:hAnsi="宋体"/>
                <w:sz w:val="18"/>
                <w:szCs w:val="18"/>
              </w:rPr>
              <w:t>。</w:t>
            </w:r>
          </w:p>
          <w:p w:rsidR="00A472C4" w:rsidRPr="00B134C2" w:rsidRDefault="00A472C4" w:rsidP="00885BBE">
            <w:pPr>
              <w:contextualSpacing/>
              <w:jc w:val="center"/>
              <w:rPr>
                <w:rFonts w:ascii="宋体" w:hAnsi="宋体"/>
                <w:b/>
                <w:sz w:val="18"/>
                <w:szCs w:val="18"/>
              </w:rPr>
            </w:pPr>
            <w:r w:rsidRPr="00B134C2">
              <w:rPr>
                <w:rFonts w:ascii="宋体" w:hAnsi="宋体"/>
                <w:b/>
                <w:sz w:val="18"/>
                <w:szCs w:val="18"/>
              </w:rPr>
              <w:t>中国建设银行可根据需要对这一条款进行调整，并至少于新条款启用之前2个工作日公布。</w:t>
            </w:r>
          </w:p>
        </w:tc>
      </w:tr>
      <w:tr w:rsidR="00233077" w:rsidRPr="004E7DB1" w:rsidTr="00233077">
        <w:trPr>
          <w:cantSplit/>
          <w:trHeight w:val="373"/>
          <w:jc w:val="center"/>
        </w:trPr>
        <w:tc>
          <w:tcPr>
            <w:tcW w:w="1532"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233077" w:rsidRPr="004E7DB1" w:rsidRDefault="00233077" w:rsidP="00233077">
            <w:pPr>
              <w:adjustRightInd w:val="0"/>
              <w:snapToGrid w:val="0"/>
              <w:jc w:val="center"/>
              <w:rPr>
                <w:rFonts w:ascii="宋体" w:hAnsi="宋体"/>
                <w:sz w:val="18"/>
                <w:szCs w:val="18"/>
              </w:rPr>
            </w:pPr>
            <w:r w:rsidRPr="004E7DB1">
              <w:rPr>
                <w:rFonts w:ascii="宋体" w:hAnsi="宋体" w:hint="eastAsia"/>
                <w:sz w:val="18"/>
                <w:szCs w:val="18"/>
              </w:rPr>
              <w:t>税款</w:t>
            </w:r>
          </w:p>
        </w:tc>
        <w:tc>
          <w:tcPr>
            <w:tcW w:w="6637"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233077" w:rsidRPr="004E7DB1" w:rsidRDefault="00233077" w:rsidP="00233077">
            <w:pPr>
              <w:adjustRightInd w:val="0"/>
              <w:snapToGrid w:val="0"/>
              <w:jc w:val="center"/>
              <w:rPr>
                <w:rFonts w:ascii="宋体" w:hAnsi="宋体"/>
                <w:sz w:val="18"/>
                <w:szCs w:val="18"/>
              </w:rPr>
            </w:pPr>
            <w:r w:rsidRPr="004E7DB1">
              <w:rPr>
                <w:rFonts w:ascii="宋体" w:hAnsi="宋体" w:hint="eastAsia"/>
                <w:sz w:val="18"/>
                <w:szCs w:val="18"/>
              </w:rPr>
              <w:t>中国建设银行不负责代扣代缴客户购买本产品的所得税款。</w:t>
            </w:r>
          </w:p>
        </w:tc>
      </w:tr>
      <w:tr w:rsidR="00233077" w:rsidRPr="004E7DB1" w:rsidTr="00233077">
        <w:trPr>
          <w:cantSplit/>
          <w:trHeight w:val="373"/>
          <w:jc w:val="center"/>
        </w:trPr>
        <w:tc>
          <w:tcPr>
            <w:tcW w:w="1532" w:type="dxa"/>
            <w:tcBorders>
              <w:top w:val="single" w:sz="4" w:space="0" w:color="auto"/>
              <w:left w:val="single" w:sz="12" w:space="0" w:color="auto"/>
              <w:bottom w:val="single" w:sz="12" w:space="0" w:color="auto"/>
              <w:right w:val="single" w:sz="4" w:space="0" w:color="auto"/>
            </w:tcBorders>
            <w:tcMar>
              <w:top w:w="15" w:type="dxa"/>
              <w:left w:w="15" w:type="dxa"/>
              <w:bottom w:w="0" w:type="dxa"/>
              <w:right w:w="15" w:type="dxa"/>
            </w:tcMar>
            <w:vAlign w:val="center"/>
          </w:tcPr>
          <w:p w:rsidR="00233077" w:rsidRPr="004E7DB1" w:rsidRDefault="00233077" w:rsidP="00233077">
            <w:pPr>
              <w:adjustRightInd w:val="0"/>
              <w:snapToGrid w:val="0"/>
              <w:jc w:val="center"/>
              <w:rPr>
                <w:rFonts w:ascii="宋体" w:hAnsi="宋体"/>
                <w:sz w:val="18"/>
                <w:szCs w:val="18"/>
              </w:rPr>
            </w:pPr>
            <w:r w:rsidRPr="004E7DB1">
              <w:rPr>
                <w:rFonts w:ascii="宋体" w:hAnsi="宋体" w:hint="eastAsia"/>
                <w:sz w:val="18"/>
                <w:szCs w:val="18"/>
              </w:rPr>
              <w:t>其他</w:t>
            </w:r>
          </w:p>
        </w:tc>
        <w:tc>
          <w:tcPr>
            <w:tcW w:w="6637" w:type="dxa"/>
            <w:tcBorders>
              <w:top w:val="single" w:sz="4" w:space="0" w:color="auto"/>
              <w:left w:val="nil"/>
              <w:bottom w:val="single" w:sz="12" w:space="0" w:color="auto"/>
              <w:right w:val="single" w:sz="12" w:space="0" w:color="auto"/>
            </w:tcBorders>
            <w:tcMar>
              <w:top w:w="15" w:type="dxa"/>
              <w:left w:w="15" w:type="dxa"/>
              <w:bottom w:w="0" w:type="dxa"/>
              <w:right w:w="15" w:type="dxa"/>
            </w:tcMar>
            <w:vAlign w:val="center"/>
          </w:tcPr>
          <w:p w:rsidR="00233077" w:rsidRPr="00B752B3" w:rsidRDefault="00233077" w:rsidP="00233077">
            <w:pPr>
              <w:adjustRightInd w:val="0"/>
              <w:snapToGrid w:val="0"/>
              <w:jc w:val="center"/>
              <w:rPr>
                <w:rFonts w:ascii="宋体" w:hAnsi="宋体"/>
                <w:sz w:val="18"/>
                <w:szCs w:val="18"/>
              </w:rPr>
            </w:pPr>
            <w:r w:rsidRPr="004E7DB1">
              <w:rPr>
                <w:rFonts w:ascii="宋体" w:hAnsi="宋体" w:hint="eastAsia"/>
                <w:sz w:val="18"/>
                <w:szCs w:val="18"/>
              </w:rPr>
              <w:t>本产品不具备质押等担保附属功能。</w:t>
            </w:r>
          </w:p>
        </w:tc>
      </w:tr>
    </w:tbl>
    <w:p w:rsidR="00A472C4" w:rsidRPr="00233077" w:rsidRDefault="00A472C4" w:rsidP="00885BBE">
      <w:pPr>
        <w:pStyle w:val="a4"/>
        <w:tabs>
          <w:tab w:val="left" w:pos="720"/>
        </w:tabs>
        <w:ind w:firstLine="562"/>
        <w:rPr>
          <w:rFonts w:ascii="黑体" w:eastAsia="黑体"/>
          <w:b/>
          <w:szCs w:val="21"/>
        </w:rPr>
      </w:pPr>
    </w:p>
    <w:p w:rsidR="00A472C4" w:rsidRPr="00C3717A" w:rsidRDefault="00A472C4" w:rsidP="00885BBE">
      <w:pPr>
        <w:pStyle w:val="a4"/>
        <w:tabs>
          <w:tab w:val="left" w:pos="720"/>
        </w:tabs>
        <w:ind w:firstLine="562"/>
        <w:rPr>
          <w:rFonts w:ascii="黑体" w:eastAsia="黑体"/>
          <w:b/>
          <w:szCs w:val="21"/>
        </w:rPr>
      </w:pPr>
    </w:p>
    <w:p w:rsidR="00A472C4" w:rsidRPr="002F1C18" w:rsidRDefault="00A472C4" w:rsidP="00885BBE">
      <w:pPr>
        <w:pStyle w:val="a4"/>
        <w:tabs>
          <w:tab w:val="left" w:pos="720"/>
        </w:tabs>
        <w:outlineLvl w:val="0"/>
        <w:rPr>
          <w:rFonts w:ascii="黑体" w:eastAsia="黑体" w:hAnsi="黑体"/>
          <w:b/>
          <w:szCs w:val="20"/>
        </w:rPr>
      </w:pPr>
      <w:r w:rsidRPr="002F1C18">
        <w:rPr>
          <w:rFonts w:ascii="黑体" w:eastAsia="黑体" w:hAnsi="黑体" w:hint="eastAsia"/>
          <w:b/>
          <w:szCs w:val="20"/>
        </w:rPr>
        <w:t>二、投资管理</w:t>
      </w:r>
    </w:p>
    <w:p w:rsidR="00AA39B9" w:rsidRPr="00664E58" w:rsidRDefault="00AA39B9" w:rsidP="00AA39B9">
      <w:pPr>
        <w:ind w:firstLineChars="200" w:firstLine="361"/>
        <w:outlineLvl w:val="0"/>
        <w:rPr>
          <w:rFonts w:ascii="宋体"/>
          <w:b/>
          <w:sz w:val="18"/>
          <w:szCs w:val="18"/>
        </w:rPr>
      </w:pPr>
      <w:r w:rsidRPr="00664E58">
        <w:rPr>
          <w:rFonts w:ascii="宋体" w:hint="eastAsia"/>
          <w:b/>
          <w:sz w:val="18"/>
          <w:szCs w:val="18"/>
        </w:rPr>
        <w:t>（一）投资</w:t>
      </w:r>
      <w:r>
        <w:rPr>
          <w:rFonts w:ascii="宋体" w:hint="eastAsia"/>
          <w:b/>
          <w:sz w:val="18"/>
          <w:szCs w:val="18"/>
        </w:rPr>
        <w:t>范围</w:t>
      </w:r>
    </w:p>
    <w:p w:rsidR="00AA39B9" w:rsidRPr="00AA39B9" w:rsidRDefault="00AA39B9" w:rsidP="00AA39B9">
      <w:pPr>
        <w:ind w:firstLineChars="200" w:firstLine="360"/>
        <w:rPr>
          <w:rFonts w:ascii="宋体"/>
          <w:sz w:val="18"/>
          <w:szCs w:val="18"/>
        </w:rPr>
      </w:pPr>
      <w:r w:rsidRPr="00AA39B9">
        <w:rPr>
          <w:rFonts w:ascii="宋体" w:hint="eastAsia"/>
          <w:sz w:val="18"/>
          <w:szCs w:val="18"/>
        </w:rPr>
        <w:t>本产品募集资金投资于（含直接投资、通过信托计划投资）：</w:t>
      </w:r>
    </w:p>
    <w:p w:rsidR="00AA39B9" w:rsidRPr="00AA39B9" w:rsidRDefault="00AA39B9" w:rsidP="00AA39B9">
      <w:pPr>
        <w:ind w:firstLineChars="200" w:firstLine="360"/>
        <w:rPr>
          <w:rFonts w:ascii="宋体"/>
          <w:sz w:val="18"/>
          <w:szCs w:val="18"/>
        </w:rPr>
      </w:pPr>
      <w:r w:rsidRPr="00AA39B9">
        <w:rPr>
          <w:rFonts w:ascii="宋体" w:hint="eastAsia"/>
          <w:sz w:val="18"/>
          <w:szCs w:val="18"/>
        </w:rPr>
        <w:t>银行间债券市场各类债券、回购、同业存款等，以及其他监管机构允许交易的金融工具，投资比例限制如下：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61"/>
        <w:gridCol w:w="4261"/>
      </w:tblGrid>
      <w:tr w:rsidR="00AA39B9" w:rsidRPr="00AA39B9" w:rsidTr="008C13A5">
        <w:tc>
          <w:tcPr>
            <w:tcW w:w="4261" w:type="dxa"/>
            <w:vAlign w:val="center"/>
          </w:tcPr>
          <w:p w:rsidR="00AA39B9" w:rsidRPr="00AA39B9" w:rsidRDefault="00AA39B9" w:rsidP="008C13A5">
            <w:pPr>
              <w:jc w:val="center"/>
              <w:rPr>
                <w:rFonts w:ascii="宋体"/>
                <w:b/>
                <w:sz w:val="18"/>
                <w:szCs w:val="18"/>
              </w:rPr>
            </w:pPr>
            <w:r w:rsidRPr="00AA39B9">
              <w:rPr>
                <w:rFonts w:ascii="宋体" w:hint="eastAsia"/>
                <w:b/>
                <w:sz w:val="18"/>
                <w:szCs w:val="18"/>
              </w:rPr>
              <w:t>资产类别</w:t>
            </w:r>
          </w:p>
        </w:tc>
        <w:tc>
          <w:tcPr>
            <w:tcW w:w="4261" w:type="dxa"/>
            <w:vAlign w:val="center"/>
          </w:tcPr>
          <w:p w:rsidR="00AA39B9" w:rsidRPr="00AA39B9" w:rsidRDefault="00AA39B9" w:rsidP="008C13A5">
            <w:pPr>
              <w:jc w:val="center"/>
              <w:rPr>
                <w:rFonts w:ascii="宋体"/>
                <w:b/>
                <w:sz w:val="18"/>
                <w:szCs w:val="18"/>
              </w:rPr>
            </w:pPr>
            <w:r w:rsidRPr="00AA39B9">
              <w:rPr>
                <w:rFonts w:ascii="宋体" w:hint="eastAsia"/>
                <w:b/>
                <w:sz w:val="18"/>
                <w:szCs w:val="18"/>
              </w:rPr>
              <w:t>投资比例</w:t>
            </w:r>
          </w:p>
        </w:tc>
      </w:tr>
      <w:tr w:rsidR="00AA39B9" w:rsidRPr="00AA39B9" w:rsidTr="008C13A5">
        <w:tc>
          <w:tcPr>
            <w:tcW w:w="4261" w:type="dxa"/>
            <w:vAlign w:val="center"/>
          </w:tcPr>
          <w:p w:rsidR="00AA39B9" w:rsidRPr="00AA39B9" w:rsidRDefault="00AA39B9" w:rsidP="008C13A5">
            <w:pPr>
              <w:jc w:val="center"/>
              <w:rPr>
                <w:rFonts w:ascii="宋体"/>
                <w:sz w:val="18"/>
                <w:szCs w:val="18"/>
              </w:rPr>
            </w:pPr>
            <w:r w:rsidRPr="00AA39B9">
              <w:rPr>
                <w:rFonts w:ascii="宋体" w:hint="eastAsia"/>
                <w:sz w:val="18"/>
                <w:szCs w:val="18"/>
              </w:rPr>
              <w:lastRenderedPageBreak/>
              <w:t>货币市场类金融工具</w:t>
            </w:r>
          </w:p>
        </w:tc>
        <w:tc>
          <w:tcPr>
            <w:tcW w:w="4261" w:type="dxa"/>
            <w:vAlign w:val="center"/>
          </w:tcPr>
          <w:p w:rsidR="00AA39B9" w:rsidRPr="00AA39B9" w:rsidRDefault="00AA39B9" w:rsidP="008C13A5">
            <w:pPr>
              <w:jc w:val="center"/>
              <w:rPr>
                <w:rFonts w:ascii="宋体"/>
                <w:sz w:val="18"/>
                <w:szCs w:val="18"/>
              </w:rPr>
            </w:pPr>
            <w:r w:rsidRPr="00AA39B9">
              <w:rPr>
                <w:rFonts w:ascii="宋体" w:hint="eastAsia"/>
                <w:sz w:val="18"/>
                <w:szCs w:val="18"/>
              </w:rPr>
              <w:t>10%-90%</w:t>
            </w:r>
          </w:p>
        </w:tc>
      </w:tr>
      <w:tr w:rsidR="00AA39B9" w:rsidRPr="00AA39B9" w:rsidTr="008C13A5">
        <w:tc>
          <w:tcPr>
            <w:tcW w:w="4261" w:type="dxa"/>
            <w:vAlign w:val="center"/>
          </w:tcPr>
          <w:p w:rsidR="00AA39B9" w:rsidRPr="00AA39B9" w:rsidRDefault="00AA39B9" w:rsidP="008C13A5">
            <w:pPr>
              <w:jc w:val="center"/>
              <w:rPr>
                <w:rFonts w:ascii="宋体"/>
                <w:sz w:val="18"/>
                <w:szCs w:val="18"/>
              </w:rPr>
            </w:pPr>
            <w:r w:rsidRPr="00AA39B9">
              <w:rPr>
                <w:rFonts w:ascii="宋体" w:hint="eastAsia"/>
                <w:sz w:val="18"/>
                <w:szCs w:val="18"/>
              </w:rPr>
              <w:t>债券类资产</w:t>
            </w:r>
          </w:p>
        </w:tc>
        <w:tc>
          <w:tcPr>
            <w:tcW w:w="4261" w:type="dxa"/>
            <w:vAlign w:val="center"/>
          </w:tcPr>
          <w:p w:rsidR="00AA39B9" w:rsidRPr="00AA39B9" w:rsidRDefault="00AA39B9" w:rsidP="008C13A5">
            <w:pPr>
              <w:jc w:val="center"/>
              <w:rPr>
                <w:rFonts w:ascii="宋体"/>
                <w:sz w:val="18"/>
                <w:szCs w:val="18"/>
              </w:rPr>
            </w:pPr>
            <w:r w:rsidRPr="00AA39B9">
              <w:rPr>
                <w:rFonts w:ascii="宋体" w:hint="eastAsia"/>
                <w:sz w:val="18"/>
                <w:szCs w:val="18"/>
              </w:rPr>
              <w:t>10%-90%</w:t>
            </w:r>
          </w:p>
        </w:tc>
      </w:tr>
      <w:tr w:rsidR="00AA39B9" w:rsidRPr="00AA39B9" w:rsidTr="008C13A5">
        <w:tc>
          <w:tcPr>
            <w:tcW w:w="4261" w:type="dxa"/>
            <w:vAlign w:val="center"/>
          </w:tcPr>
          <w:p w:rsidR="00AA39B9" w:rsidRPr="00AA39B9" w:rsidRDefault="00AA39B9" w:rsidP="008C13A5">
            <w:pPr>
              <w:jc w:val="center"/>
              <w:rPr>
                <w:rFonts w:ascii="宋体"/>
                <w:sz w:val="18"/>
                <w:szCs w:val="18"/>
              </w:rPr>
            </w:pPr>
            <w:r w:rsidRPr="00AA39B9">
              <w:rPr>
                <w:rFonts w:ascii="宋体" w:hint="eastAsia"/>
                <w:sz w:val="18"/>
                <w:szCs w:val="18"/>
              </w:rPr>
              <w:t>其它符合监管要求的资产</w:t>
            </w:r>
          </w:p>
        </w:tc>
        <w:tc>
          <w:tcPr>
            <w:tcW w:w="4261" w:type="dxa"/>
            <w:vAlign w:val="center"/>
          </w:tcPr>
          <w:p w:rsidR="00AA39B9" w:rsidRPr="00AA39B9" w:rsidRDefault="00AA39B9" w:rsidP="008C13A5">
            <w:pPr>
              <w:jc w:val="center"/>
              <w:rPr>
                <w:rFonts w:ascii="宋体"/>
                <w:sz w:val="18"/>
                <w:szCs w:val="18"/>
              </w:rPr>
            </w:pPr>
            <w:r w:rsidRPr="00AA39B9">
              <w:rPr>
                <w:rFonts w:ascii="宋体" w:hint="eastAsia"/>
                <w:sz w:val="18"/>
                <w:szCs w:val="18"/>
              </w:rPr>
              <w:t>10%-90%</w:t>
            </w:r>
          </w:p>
        </w:tc>
      </w:tr>
    </w:tbl>
    <w:p w:rsidR="00AA39B9" w:rsidRPr="00554423" w:rsidRDefault="00AA39B9" w:rsidP="00AA39B9">
      <w:pPr>
        <w:ind w:firstLineChars="200" w:firstLine="360"/>
        <w:rPr>
          <w:rFonts w:ascii="宋体"/>
          <w:sz w:val="18"/>
          <w:szCs w:val="18"/>
        </w:rPr>
      </w:pPr>
      <w:r w:rsidRPr="00AA39B9">
        <w:rPr>
          <w:rFonts w:ascii="宋体" w:hint="eastAsia"/>
          <w:sz w:val="18"/>
          <w:szCs w:val="18"/>
        </w:rPr>
        <w:t>允许各项资产配置比例上下浮动10%。</w:t>
      </w:r>
    </w:p>
    <w:p w:rsidR="00A472C4" w:rsidRPr="00AA39B9" w:rsidRDefault="00A472C4" w:rsidP="00885BBE">
      <w:pPr>
        <w:ind w:firstLineChars="200" w:firstLine="360"/>
        <w:rPr>
          <w:rFonts w:ascii="宋体"/>
          <w:sz w:val="18"/>
          <w:szCs w:val="18"/>
        </w:rPr>
      </w:pPr>
    </w:p>
    <w:p w:rsidR="00A472C4" w:rsidRPr="00C3717A" w:rsidRDefault="00A472C4" w:rsidP="00885BBE">
      <w:pPr>
        <w:ind w:firstLineChars="200" w:firstLine="361"/>
        <w:outlineLvl w:val="0"/>
        <w:rPr>
          <w:rFonts w:ascii="宋体"/>
          <w:b/>
          <w:sz w:val="18"/>
          <w:szCs w:val="18"/>
        </w:rPr>
      </w:pPr>
      <w:r w:rsidRPr="00C3717A">
        <w:rPr>
          <w:rFonts w:ascii="宋体" w:hint="eastAsia"/>
          <w:b/>
          <w:sz w:val="18"/>
          <w:szCs w:val="18"/>
        </w:rPr>
        <w:t>（二）投资团队</w:t>
      </w:r>
    </w:p>
    <w:p w:rsidR="00A472C4" w:rsidRPr="00C3717A" w:rsidRDefault="00A472C4" w:rsidP="00885BBE">
      <w:pPr>
        <w:ind w:firstLineChars="200" w:firstLine="360"/>
        <w:rPr>
          <w:rFonts w:ascii="宋体"/>
          <w:sz w:val="18"/>
          <w:szCs w:val="18"/>
        </w:rPr>
      </w:pPr>
      <w:r w:rsidRPr="00C3717A">
        <w:rPr>
          <w:rFonts w:ascii="宋体" w:hint="eastAsia"/>
          <w:sz w:val="18"/>
          <w:szCs w:val="18"/>
        </w:rPr>
        <w:t>中国建设银行是国有控股商业银行之一，拥有专业化的银行理财产品投资管理团队和丰富的投资经验。中国建设银行秉承稳健经营的传统，发挥自身优势，为产品运作管理提供专业的投资管理服务，力争帮助客户实现收益。</w:t>
      </w:r>
    </w:p>
    <w:p w:rsidR="00A472C4" w:rsidRPr="00C3717A" w:rsidRDefault="00A472C4" w:rsidP="00885BBE">
      <w:pPr>
        <w:ind w:firstLineChars="200" w:firstLine="361"/>
        <w:outlineLvl w:val="0"/>
        <w:rPr>
          <w:rFonts w:ascii="宋体"/>
          <w:b/>
          <w:sz w:val="18"/>
          <w:szCs w:val="18"/>
        </w:rPr>
      </w:pPr>
      <w:r w:rsidRPr="00C3717A">
        <w:rPr>
          <w:rFonts w:ascii="宋体" w:hint="eastAsia"/>
          <w:b/>
          <w:sz w:val="18"/>
          <w:szCs w:val="18"/>
        </w:rPr>
        <w:t>（三）参与主体</w:t>
      </w:r>
    </w:p>
    <w:p w:rsidR="00576CA2" w:rsidRPr="00C3717A" w:rsidRDefault="00576CA2" w:rsidP="00885BBE">
      <w:pPr>
        <w:autoSpaceDE w:val="0"/>
        <w:autoSpaceDN w:val="0"/>
        <w:adjustRightInd w:val="0"/>
        <w:ind w:firstLine="360"/>
        <w:rPr>
          <w:rFonts w:ascii="宋体" w:cs="宋体"/>
          <w:kern w:val="0"/>
          <w:sz w:val="18"/>
          <w:szCs w:val="18"/>
        </w:rPr>
      </w:pPr>
      <w:r w:rsidRPr="00C3717A">
        <w:rPr>
          <w:rFonts w:ascii="宋体" w:cs="宋体" w:hint="eastAsia"/>
          <w:kern w:val="0"/>
          <w:sz w:val="18"/>
          <w:szCs w:val="18"/>
        </w:rPr>
        <w:t>理财产品管理人：中国建设银行</w:t>
      </w:r>
      <w:r>
        <w:rPr>
          <w:rFonts w:ascii="宋体" w:cs="宋体" w:hint="eastAsia"/>
          <w:kern w:val="0"/>
          <w:sz w:val="18"/>
          <w:szCs w:val="18"/>
        </w:rPr>
        <w:t>陕西</w:t>
      </w:r>
      <w:r w:rsidR="005C5F0C">
        <w:rPr>
          <w:rFonts w:ascii="宋体" w:cs="宋体" w:hint="eastAsia"/>
          <w:kern w:val="0"/>
          <w:sz w:val="18"/>
          <w:szCs w:val="18"/>
        </w:rPr>
        <w:t>省</w:t>
      </w:r>
      <w:r w:rsidRPr="00C3717A">
        <w:rPr>
          <w:rFonts w:ascii="宋体" w:cs="宋体" w:hint="eastAsia"/>
          <w:kern w:val="0"/>
          <w:sz w:val="18"/>
          <w:szCs w:val="18"/>
        </w:rPr>
        <w:t>分行</w:t>
      </w:r>
    </w:p>
    <w:p w:rsidR="00576CA2" w:rsidRPr="00C3717A" w:rsidRDefault="00576CA2" w:rsidP="00885BBE">
      <w:pPr>
        <w:autoSpaceDE w:val="0"/>
        <w:autoSpaceDN w:val="0"/>
        <w:adjustRightInd w:val="0"/>
        <w:ind w:firstLine="360"/>
        <w:rPr>
          <w:rFonts w:ascii="宋体" w:cs="宋体"/>
          <w:kern w:val="0"/>
          <w:sz w:val="18"/>
          <w:szCs w:val="18"/>
        </w:rPr>
      </w:pPr>
      <w:r w:rsidRPr="00C3717A">
        <w:rPr>
          <w:rFonts w:ascii="宋体" w:cs="宋体" w:hint="eastAsia"/>
          <w:kern w:val="0"/>
          <w:sz w:val="18"/>
          <w:szCs w:val="18"/>
        </w:rPr>
        <w:t>理财产品托管人：</w:t>
      </w:r>
      <w:r w:rsidRPr="00076587">
        <w:rPr>
          <w:rFonts w:ascii="宋体" w:cs="宋体" w:hint="eastAsia"/>
          <w:kern w:val="0"/>
          <w:sz w:val="18"/>
          <w:szCs w:val="18"/>
        </w:rPr>
        <w:t>中国建设银行西安南大街支行</w:t>
      </w:r>
    </w:p>
    <w:p w:rsidR="00B134C2" w:rsidRPr="00D13E89" w:rsidRDefault="00B134C2" w:rsidP="00885BBE">
      <w:pPr>
        <w:ind w:firstLineChars="200" w:firstLine="360"/>
        <w:rPr>
          <w:rFonts w:ascii="宋体"/>
          <w:sz w:val="18"/>
          <w:szCs w:val="18"/>
        </w:rPr>
      </w:pPr>
    </w:p>
    <w:p w:rsidR="00A472C4" w:rsidRPr="002F1C18" w:rsidRDefault="00A472C4" w:rsidP="00885BBE">
      <w:pPr>
        <w:pStyle w:val="a4"/>
        <w:tabs>
          <w:tab w:val="left" w:pos="720"/>
        </w:tabs>
        <w:outlineLvl w:val="0"/>
        <w:rPr>
          <w:rFonts w:ascii="黑体" w:eastAsia="黑体" w:hAnsi="黑体"/>
          <w:b/>
          <w:szCs w:val="20"/>
        </w:rPr>
      </w:pPr>
      <w:r w:rsidRPr="002F1C18">
        <w:rPr>
          <w:rFonts w:ascii="黑体" w:eastAsia="黑体" w:hAnsi="黑体" w:hint="eastAsia"/>
          <w:b/>
          <w:szCs w:val="20"/>
        </w:rPr>
        <w:t>三、产品运作说明</w:t>
      </w:r>
    </w:p>
    <w:p w:rsidR="00A472C4" w:rsidRPr="00C3717A" w:rsidRDefault="00A472C4" w:rsidP="00885BBE">
      <w:pPr>
        <w:ind w:firstLineChars="200" w:firstLine="361"/>
        <w:outlineLvl w:val="0"/>
        <w:rPr>
          <w:rFonts w:ascii="宋体"/>
          <w:b/>
          <w:sz w:val="18"/>
          <w:szCs w:val="18"/>
        </w:rPr>
      </w:pPr>
      <w:r w:rsidRPr="00C3717A">
        <w:rPr>
          <w:rFonts w:ascii="宋体" w:hint="eastAsia"/>
          <w:b/>
          <w:sz w:val="18"/>
          <w:szCs w:val="18"/>
        </w:rPr>
        <w:t>（一）产品规模</w:t>
      </w:r>
    </w:p>
    <w:p w:rsidR="00A472C4" w:rsidRPr="00C3717A" w:rsidRDefault="00A472C4" w:rsidP="00885BBE">
      <w:pPr>
        <w:ind w:firstLineChars="250" w:firstLine="450"/>
        <w:rPr>
          <w:rFonts w:ascii="宋体" w:hAnsi="宋体"/>
          <w:sz w:val="18"/>
          <w:szCs w:val="18"/>
        </w:rPr>
      </w:pPr>
      <w:r w:rsidRPr="00C3717A">
        <w:rPr>
          <w:rFonts w:ascii="宋体" w:hAnsi="宋体" w:hint="eastAsia"/>
          <w:sz w:val="18"/>
          <w:szCs w:val="18"/>
        </w:rPr>
        <w:t>1.本产品规模上限：</w:t>
      </w:r>
      <w:r w:rsidR="008470E9">
        <w:rPr>
          <w:rFonts w:ascii="宋体" w:hAnsi="宋体" w:hint="eastAsia"/>
          <w:color w:val="0000FF"/>
          <w:sz w:val="18"/>
          <w:szCs w:val="18"/>
        </w:rPr>
        <w:t>12.28</w:t>
      </w:r>
      <w:r w:rsidR="00556136">
        <w:rPr>
          <w:rFonts w:ascii="宋体" w:hAnsi="宋体" w:hint="eastAsia"/>
          <w:color w:val="0000FF"/>
          <w:sz w:val="18"/>
          <w:szCs w:val="18"/>
        </w:rPr>
        <w:t>亿</w:t>
      </w:r>
      <w:r w:rsidR="00E54D53" w:rsidRPr="00B134C2">
        <w:rPr>
          <w:rFonts w:ascii="宋体" w:hAnsi="宋体" w:hint="eastAsia"/>
          <w:sz w:val="18"/>
          <w:szCs w:val="18"/>
        </w:rPr>
        <w:t>元</w:t>
      </w:r>
      <w:r w:rsidRPr="00C3717A">
        <w:rPr>
          <w:rFonts w:ascii="宋体" w:hAnsi="宋体" w:hint="eastAsia"/>
          <w:sz w:val="18"/>
          <w:szCs w:val="18"/>
        </w:rPr>
        <w:t>。</w:t>
      </w:r>
      <w:r w:rsidRPr="00E62FAC">
        <w:rPr>
          <w:rFonts w:ascii="宋体" w:hAnsi="宋体" w:hint="eastAsia"/>
          <w:bCs/>
          <w:sz w:val="18"/>
          <w:szCs w:val="18"/>
        </w:rPr>
        <w:t xml:space="preserve">在本期产品募集期内，对本期产品的认购金额达到本期理财产品规模上限，则中国建设银行有权利但无义务停止本期产品的认购，已经认购成功的客户投资权益不受影响。 </w:t>
      </w:r>
      <w:r w:rsidRPr="00C3717A">
        <w:rPr>
          <w:rFonts w:ascii="宋体" w:hAnsi="宋体" w:hint="eastAsia"/>
          <w:sz w:val="18"/>
          <w:szCs w:val="18"/>
        </w:rPr>
        <w:t xml:space="preserve"> </w:t>
      </w:r>
    </w:p>
    <w:p w:rsidR="00A472C4" w:rsidRPr="00C3717A" w:rsidRDefault="00A472C4" w:rsidP="00885BBE">
      <w:pPr>
        <w:ind w:firstLineChars="250" w:firstLine="452"/>
        <w:rPr>
          <w:rFonts w:ascii="宋体" w:hAnsi="宋体"/>
          <w:b/>
          <w:sz w:val="18"/>
          <w:szCs w:val="18"/>
        </w:rPr>
      </w:pPr>
      <w:r w:rsidRPr="00C3717A">
        <w:rPr>
          <w:rFonts w:ascii="宋体" w:hAnsi="宋体" w:hint="eastAsia"/>
          <w:b/>
          <w:sz w:val="18"/>
          <w:szCs w:val="18"/>
        </w:rPr>
        <w:t>2.</w:t>
      </w:r>
      <w:r w:rsidRPr="00C3717A">
        <w:rPr>
          <w:rFonts w:ascii="宋体" w:hAnsi="宋体" w:hint="eastAsia"/>
          <w:sz w:val="18"/>
          <w:szCs w:val="18"/>
        </w:rPr>
        <w:t>本产品规模下限：</w:t>
      </w:r>
      <w:r w:rsidR="008470E9">
        <w:rPr>
          <w:rFonts w:ascii="宋体" w:hAnsi="宋体" w:hint="eastAsia"/>
          <w:color w:val="0000FF"/>
          <w:sz w:val="18"/>
          <w:szCs w:val="18"/>
        </w:rPr>
        <w:t>1亿</w:t>
      </w:r>
      <w:r w:rsidR="001872B1" w:rsidRPr="00B134C2">
        <w:rPr>
          <w:rFonts w:ascii="宋体" w:hAnsi="宋体" w:hint="eastAsia"/>
          <w:sz w:val="18"/>
          <w:szCs w:val="18"/>
        </w:rPr>
        <w:t>元</w:t>
      </w:r>
      <w:r w:rsidRPr="00C3717A">
        <w:rPr>
          <w:rFonts w:ascii="宋体" w:hAnsi="宋体" w:hint="eastAsia"/>
          <w:sz w:val="18"/>
          <w:szCs w:val="18"/>
        </w:rPr>
        <w:t>。</w:t>
      </w:r>
      <w:r>
        <w:rPr>
          <w:rFonts w:ascii="宋体" w:hAnsi="宋体" w:hint="eastAsia"/>
          <w:sz w:val="18"/>
          <w:szCs w:val="18"/>
        </w:rPr>
        <w:t>在本期产品募集期内，对本期产品的认购</w:t>
      </w:r>
      <w:r w:rsidRPr="006F42E7">
        <w:rPr>
          <w:rFonts w:ascii="宋体" w:hAnsi="宋体" w:hint="eastAsia"/>
          <w:sz w:val="18"/>
          <w:szCs w:val="18"/>
        </w:rPr>
        <w:t>金额未能达到本</w:t>
      </w:r>
      <w:r>
        <w:rPr>
          <w:rFonts w:ascii="宋体" w:hAnsi="宋体" w:hint="eastAsia"/>
          <w:sz w:val="18"/>
          <w:szCs w:val="18"/>
        </w:rPr>
        <w:t>期</w:t>
      </w:r>
      <w:r w:rsidRPr="006F42E7">
        <w:rPr>
          <w:rFonts w:ascii="宋体" w:hAnsi="宋体" w:hint="eastAsia"/>
          <w:sz w:val="18"/>
          <w:szCs w:val="18"/>
        </w:rPr>
        <w:t>理财产品规模下限</w:t>
      </w:r>
      <w:r w:rsidRPr="00664E58">
        <w:rPr>
          <w:rFonts w:ascii="宋体" w:hAnsi="宋体" w:hint="eastAsia"/>
          <w:sz w:val="18"/>
          <w:szCs w:val="18"/>
        </w:rPr>
        <w:t>，</w:t>
      </w:r>
      <w:r w:rsidRPr="006F42E7">
        <w:rPr>
          <w:rFonts w:ascii="宋体" w:hAnsi="宋体" w:hint="eastAsia"/>
          <w:sz w:val="18"/>
          <w:szCs w:val="18"/>
        </w:rPr>
        <w:t>中国建设银行有权利但无义务宣布本</w:t>
      </w:r>
      <w:r>
        <w:rPr>
          <w:rFonts w:ascii="宋体" w:hAnsi="宋体" w:hint="eastAsia"/>
          <w:sz w:val="18"/>
          <w:szCs w:val="18"/>
        </w:rPr>
        <w:t>期</w:t>
      </w:r>
      <w:r w:rsidRPr="006F42E7">
        <w:rPr>
          <w:rFonts w:ascii="宋体" w:hAnsi="宋体" w:hint="eastAsia"/>
          <w:sz w:val="18"/>
          <w:szCs w:val="18"/>
        </w:rPr>
        <w:t>产品不成立</w:t>
      </w:r>
      <w:r w:rsidRPr="00664E58">
        <w:rPr>
          <w:rFonts w:ascii="宋体" w:hAnsi="宋体" w:hint="eastAsia"/>
          <w:sz w:val="18"/>
          <w:szCs w:val="18"/>
        </w:rPr>
        <w:t>。</w:t>
      </w:r>
      <w:r w:rsidRPr="006F42E7">
        <w:rPr>
          <w:rFonts w:ascii="宋体" w:hAnsi="宋体" w:hint="eastAsia"/>
          <w:sz w:val="18"/>
          <w:szCs w:val="18"/>
        </w:rPr>
        <w:t>如产品不成立，中国建设银行将在通知客户产品不成立后</w:t>
      </w:r>
      <w:r>
        <w:rPr>
          <w:rFonts w:ascii="宋体" w:hAnsi="宋体" w:hint="eastAsia"/>
          <w:sz w:val="18"/>
          <w:szCs w:val="18"/>
        </w:rPr>
        <w:t>5</w:t>
      </w:r>
      <w:r w:rsidRPr="006F42E7">
        <w:rPr>
          <w:rFonts w:ascii="宋体" w:hAnsi="宋体" w:hint="eastAsia"/>
          <w:sz w:val="18"/>
          <w:szCs w:val="18"/>
        </w:rPr>
        <w:t>个工作日内返还客户已缴纳的</w:t>
      </w:r>
      <w:r>
        <w:rPr>
          <w:rFonts w:ascii="宋体" w:hAnsi="宋体" w:hint="eastAsia"/>
          <w:sz w:val="18"/>
          <w:szCs w:val="18"/>
        </w:rPr>
        <w:t>认购</w:t>
      </w:r>
      <w:r w:rsidRPr="006F42E7">
        <w:rPr>
          <w:rFonts w:ascii="宋体" w:hAnsi="宋体" w:hint="eastAsia"/>
          <w:sz w:val="18"/>
          <w:szCs w:val="18"/>
        </w:rPr>
        <w:t>本金至客户指定账户，客户应确保账户状态正常，并及时查询账户资金变动情况。</w:t>
      </w:r>
    </w:p>
    <w:p w:rsidR="00A472C4" w:rsidRPr="00C3717A" w:rsidRDefault="00A472C4" w:rsidP="00885BBE">
      <w:pPr>
        <w:ind w:firstLineChars="200" w:firstLine="361"/>
        <w:outlineLvl w:val="0"/>
        <w:rPr>
          <w:rFonts w:ascii="宋体"/>
          <w:b/>
          <w:sz w:val="18"/>
          <w:szCs w:val="18"/>
        </w:rPr>
      </w:pPr>
      <w:r w:rsidRPr="00C3717A">
        <w:rPr>
          <w:rFonts w:ascii="宋体" w:hint="eastAsia"/>
          <w:b/>
          <w:sz w:val="18"/>
          <w:szCs w:val="18"/>
        </w:rPr>
        <w:t>（二）认购/申购/追加投资/赎回</w:t>
      </w:r>
    </w:p>
    <w:p w:rsidR="00A472C4" w:rsidRPr="00C3717A" w:rsidRDefault="00A472C4" w:rsidP="00885BBE">
      <w:pPr>
        <w:ind w:firstLine="360"/>
        <w:rPr>
          <w:rFonts w:ascii="宋体" w:hAnsi="宋体"/>
          <w:sz w:val="18"/>
          <w:szCs w:val="18"/>
        </w:rPr>
      </w:pPr>
      <w:r w:rsidRPr="00C3717A">
        <w:rPr>
          <w:rFonts w:ascii="宋体" w:hAnsi="宋体" w:hint="eastAsia"/>
          <w:sz w:val="18"/>
          <w:szCs w:val="18"/>
        </w:rPr>
        <w:t>募集期内，客户认购本产品，应提前将理财资金存入客户指定账户。在本产品运行期间，不开放申购、追加投资和赎回。</w:t>
      </w:r>
    </w:p>
    <w:p w:rsidR="00B134C2" w:rsidRDefault="00B134C2" w:rsidP="00885BBE">
      <w:pPr>
        <w:pStyle w:val="a4"/>
        <w:tabs>
          <w:tab w:val="left" w:pos="720"/>
        </w:tabs>
        <w:outlineLvl w:val="0"/>
        <w:rPr>
          <w:rFonts w:ascii="黑体" w:eastAsia="黑体" w:hAnsi="黑体"/>
          <w:b/>
          <w:szCs w:val="20"/>
        </w:rPr>
      </w:pPr>
    </w:p>
    <w:p w:rsidR="00A472C4" w:rsidRPr="002F1C18" w:rsidRDefault="00A472C4" w:rsidP="00885BBE">
      <w:pPr>
        <w:pStyle w:val="a4"/>
        <w:tabs>
          <w:tab w:val="left" w:pos="720"/>
        </w:tabs>
        <w:outlineLvl w:val="0"/>
        <w:rPr>
          <w:rFonts w:ascii="黑体" w:eastAsia="黑体" w:hAnsi="黑体"/>
          <w:b/>
          <w:szCs w:val="20"/>
        </w:rPr>
      </w:pPr>
      <w:r w:rsidRPr="002F1C18">
        <w:rPr>
          <w:rFonts w:ascii="黑体" w:eastAsia="黑体" w:hAnsi="黑体" w:hint="eastAsia"/>
          <w:b/>
          <w:szCs w:val="20"/>
        </w:rPr>
        <w:t>四、理财收益说明</w:t>
      </w:r>
    </w:p>
    <w:p w:rsidR="00A472C4" w:rsidRPr="00C3717A" w:rsidRDefault="00A472C4" w:rsidP="00885BBE">
      <w:pPr>
        <w:ind w:firstLineChars="200" w:firstLine="361"/>
        <w:outlineLvl w:val="0"/>
        <w:rPr>
          <w:rFonts w:ascii="宋体"/>
          <w:b/>
          <w:sz w:val="18"/>
          <w:szCs w:val="18"/>
        </w:rPr>
      </w:pPr>
      <w:r w:rsidRPr="00C3717A">
        <w:rPr>
          <w:rFonts w:ascii="宋体" w:hint="eastAsia"/>
          <w:b/>
          <w:sz w:val="18"/>
          <w:szCs w:val="18"/>
        </w:rPr>
        <w:t>（一）理财收益风险</w:t>
      </w:r>
    </w:p>
    <w:p w:rsidR="00A472C4" w:rsidRPr="00C3717A" w:rsidRDefault="00A472C4" w:rsidP="00885BBE">
      <w:pPr>
        <w:ind w:firstLine="360"/>
        <w:rPr>
          <w:rFonts w:ascii="宋体" w:hAnsi="宋体"/>
          <w:bCs/>
          <w:sz w:val="18"/>
          <w:szCs w:val="18"/>
        </w:rPr>
      </w:pPr>
      <w:r w:rsidRPr="00C3717A">
        <w:rPr>
          <w:rFonts w:ascii="宋体" w:hAnsi="宋体" w:hint="eastAsia"/>
          <w:b/>
          <w:sz w:val="18"/>
          <w:szCs w:val="18"/>
        </w:rPr>
        <w:t>1. 测算收益不等于实际收益，投资需谨慎。</w:t>
      </w:r>
      <w:r w:rsidRPr="00C3717A">
        <w:rPr>
          <w:rFonts w:ascii="宋体" w:hAnsi="宋体" w:hint="eastAsia"/>
          <w:bCs/>
          <w:sz w:val="18"/>
          <w:szCs w:val="18"/>
        </w:rPr>
        <w:t>本说明书有关预期收益率、预期最高收益率的表述不代表投资者到期获得的实际收益，亦不构成中国建设银行对本理财产品的任何收益承诺。</w:t>
      </w:r>
    </w:p>
    <w:p w:rsidR="00A472C4" w:rsidRPr="00C3717A" w:rsidRDefault="00A472C4" w:rsidP="00885BBE">
      <w:pPr>
        <w:ind w:firstLine="360"/>
        <w:rPr>
          <w:rFonts w:ascii="宋体" w:hAnsi="宋体"/>
          <w:sz w:val="18"/>
          <w:szCs w:val="18"/>
        </w:rPr>
      </w:pPr>
      <w:r w:rsidRPr="00C3717A">
        <w:rPr>
          <w:rFonts w:ascii="宋体" w:hAnsi="宋体" w:hint="eastAsia"/>
          <w:sz w:val="18"/>
          <w:szCs w:val="18"/>
        </w:rPr>
        <w:t>2.风险示例</w:t>
      </w:r>
    </w:p>
    <w:p w:rsidR="00A472C4" w:rsidRPr="00C3717A" w:rsidRDefault="00A472C4" w:rsidP="00885BBE">
      <w:pPr>
        <w:ind w:firstLineChars="200" w:firstLine="360"/>
        <w:rPr>
          <w:rFonts w:ascii="宋体" w:hAnsi="宋体"/>
          <w:sz w:val="18"/>
          <w:szCs w:val="18"/>
        </w:rPr>
      </w:pPr>
      <w:r w:rsidRPr="00C3717A">
        <w:rPr>
          <w:rFonts w:ascii="宋体" w:hAnsi="宋体" w:hint="eastAsia"/>
          <w:sz w:val="18"/>
          <w:szCs w:val="18"/>
        </w:rPr>
        <w:t>在投资于基础资产的收益未按时足额回收的情况下，根据收益实际回收情况计算客户应得收益。</w:t>
      </w:r>
    </w:p>
    <w:p w:rsidR="00A472C4" w:rsidRPr="00C3717A" w:rsidRDefault="00A472C4" w:rsidP="00885BBE">
      <w:pPr>
        <w:ind w:firstLineChars="200" w:firstLine="360"/>
        <w:rPr>
          <w:rFonts w:ascii="宋体" w:hAnsi="宋体"/>
          <w:sz w:val="18"/>
          <w:szCs w:val="18"/>
        </w:rPr>
      </w:pPr>
      <w:r w:rsidRPr="00C3717A">
        <w:rPr>
          <w:rFonts w:ascii="宋体" w:hAnsi="宋体" w:hint="eastAsia"/>
          <w:sz w:val="18"/>
          <w:szCs w:val="18"/>
        </w:rPr>
        <w:t>如到期只能回收本金及部分收益，则客户实际年化收益率可能低于客户预期年化收益率；如到期未能回收任何收益，则客户实际收益将为零，客户只能收回本金。</w:t>
      </w:r>
    </w:p>
    <w:p w:rsidR="00A472C4" w:rsidRPr="001B7BA5" w:rsidRDefault="00A472C4" w:rsidP="00885BBE">
      <w:pPr>
        <w:ind w:firstLineChars="200" w:firstLine="361"/>
        <w:outlineLvl w:val="0"/>
        <w:rPr>
          <w:rFonts w:ascii="宋体"/>
          <w:b/>
          <w:sz w:val="18"/>
          <w:szCs w:val="18"/>
        </w:rPr>
      </w:pPr>
      <w:r w:rsidRPr="001B7BA5">
        <w:rPr>
          <w:rFonts w:ascii="宋体" w:hint="eastAsia"/>
          <w:b/>
          <w:sz w:val="18"/>
          <w:szCs w:val="18"/>
        </w:rPr>
        <w:t>（二）客户预期年化收益率</w:t>
      </w:r>
    </w:p>
    <w:p w:rsidR="00A472C4" w:rsidRDefault="00A472C4" w:rsidP="00885BBE">
      <w:pPr>
        <w:tabs>
          <w:tab w:val="left" w:pos="1800"/>
        </w:tabs>
        <w:ind w:firstLine="360"/>
        <w:rPr>
          <w:rFonts w:ascii="宋体" w:hAnsi="宋体"/>
          <w:sz w:val="18"/>
          <w:szCs w:val="18"/>
        </w:rPr>
      </w:pPr>
      <w:r w:rsidRPr="001B7BA5">
        <w:rPr>
          <w:rFonts w:ascii="宋体" w:hAnsi="宋体" w:hint="eastAsia"/>
          <w:sz w:val="18"/>
          <w:szCs w:val="18"/>
        </w:rPr>
        <w:t>1.客户预期年化收益率的测算依据为：</w:t>
      </w:r>
    </w:p>
    <w:p w:rsidR="00A472C4" w:rsidRPr="00CC3DC8" w:rsidRDefault="000D496A" w:rsidP="00885BBE">
      <w:pPr>
        <w:tabs>
          <w:tab w:val="left" w:pos="1800"/>
        </w:tabs>
        <w:ind w:firstLine="360"/>
        <w:rPr>
          <w:rFonts w:ascii="宋体" w:hAnsi="宋体"/>
          <w:sz w:val="18"/>
          <w:szCs w:val="18"/>
          <w:highlight w:val="yellow"/>
        </w:rPr>
      </w:pPr>
      <w:r w:rsidRPr="00EE19FE">
        <w:rPr>
          <w:rFonts w:ascii="宋体" w:hAnsi="宋体" w:hint="eastAsia"/>
          <w:sz w:val="18"/>
          <w:szCs w:val="18"/>
        </w:rPr>
        <w:t>本产品基础资产预期年化收益率约为</w:t>
      </w:r>
      <w:r w:rsidR="003E1CC4">
        <w:rPr>
          <w:rFonts w:ascii="宋体" w:hAnsi="宋体" w:hint="eastAsia"/>
          <w:color w:val="0000FF"/>
          <w:sz w:val="18"/>
          <w:szCs w:val="18"/>
        </w:rPr>
        <w:t>3.85</w:t>
      </w:r>
      <w:r w:rsidRPr="00F310D9">
        <w:rPr>
          <w:rFonts w:ascii="宋体" w:hAnsi="宋体" w:hint="eastAsia"/>
          <w:color w:val="0000FF"/>
          <w:sz w:val="18"/>
          <w:szCs w:val="18"/>
        </w:rPr>
        <w:t>%</w:t>
      </w:r>
      <w:r w:rsidRPr="00EE19FE">
        <w:rPr>
          <w:rFonts w:ascii="宋体" w:hAnsi="宋体" w:hint="eastAsia"/>
          <w:sz w:val="18"/>
          <w:szCs w:val="18"/>
        </w:rPr>
        <w:t>，在投资于基础资产的收益按时足额回收的情况下，扣除产品托管费率</w:t>
      </w:r>
      <w:r w:rsidR="00D275C1">
        <w:rPr>
          <w:rFonts w:ascii="宋体" w:hAnsi="宋体" w:hint="eastAsia"/>
          <w:sz w:val="18"/>
          <w:szCs w:val="18"/>
        </w:rPr>
        <w:t>约为</w:t>
      </w:r>
      <w:r>
        <w:rPr>
          <w:rFonts w:ascii="宋体" w:hAnsi="宋体" w:hint="eastAsia"/>
          <w:sz w:val="18"/>
          <w:szCs w:val="18"/>
        </w:rPr>
        <w:t>0.05</w:t>
      </w:r>
      <w:r w:rsidRPr="00EE19FE">
        <w:rPr>
          <w:rFonts w:ascii="宋体" w:hAnsi="宋体" w:hint="eastAsia"/>
          <w:sz w:val="18"/>
          <w:szCs w:val="18"/>
        </w:rPr>
        <w:t>%、</w:t>
      </w:r>
      <w:r>
        <w:rPr>
          <w:rFonts w:ascii="宋体" w:hAnsi="宋体" w:hint="eastAsia"/>
          <w:sz w:val="18"/>
          <w:szCs w:val="18"/>
        </w:rPr>
        <w:t>产品销售费率</w:t>
      </w:r>
      <w:r w:rsidR="00D275C1">
        <w:rPr>
          <w:rFonts w:ascii="宋体" w:hAnsi="宋体" w:hint="eastAsia"/>
          <w:sz w:val="18"/>
          <w:szCs w:val="18"/>
        </w:rPr>
        <w:t>约为</w:t>
      </w:r>
      <w:r>
        <w:rPr>
          <w:rFonts w:ascii="宋体" w:hAnsi="宋体" w:hint="eastAsia"/>
          <w:sz w:val="18"/>
          <w:szCs w:val="18"/>
        </w:rPr>
        <w:t>0.10%，</w:t>
      </w:r>
      <w:r w:rsidRPr="00EE19FE">
        <w:rPr>
          <w:rFonts w:ascii="宋体" w:hAnsi="宋体" w:hint="eastAsia"/>
          <w:sz w:val="18"/>
          <w:szCs w:val="18"/>
        </w:rPr>
        <w:t>客户预期年化收益率为</w:t>
      </w:r>
      <w:r w:rsidR="00556136">
        <w:rPr>
          <w:rFonts w:ascii="宋体" w:hAnsi="宋体" w:hint="eastAsia"/>
          <w:color w:val="0000FF"/>
          <w:sz w:val="18"/>
          <w:szCs w:val="18"/>
        </w:rPr>
        <w:t>3.</w:t>
      </w:r>
      <w:r w:rsidR="003E1CC4">
        <w:rPr>
          <w:rFonts w:ascii="宋体" w:hAnsi="宋体" w:hint="eastAsia"/>
          <w:color w:val="0000FF"/>
          <w:sz w:val="18"/>
          <w:szCs w:val="18"/>
        </w:rPr>
        <w:t>70</w:t>
      </w:r>
      <w:r>
        <w:rPr>
          <w:rFonts w:ascii="宋体" w:hAnsi="宋体" w:hint="eastAsia"/>
          <w:color w:val="0000FF"/>
          <w:sz w:val="18"/>
          <w:szCs w:val="18"/>
        </w:rPr>
        <w:t>%</w:t>
      </w:r>
      <w:r w:rsidR="00DF5FFE" w:rsidRPr="0087458E">
        <w:rPr>
          <w:rFonts w:ascii="宋体" w:hint="eastAsia"/>
          <w:sz w:val="18"/>
          <w:szCs w:val="18"/>
        </w:rPr>
        <w:t>，剩余部分作为产品管理费由产品发行人收取</w:t>
      </w:r>
      <w:r w:rsidRPr="00EE19FE">
        <w:rPr>
          <w:rFonts w:ascii="宋体" w:hAnsi="宋体" w:hint="eastAsia"/>
          <w:sz w:val="18"/>
          <w:szCs w:val="18"/>
        </w:rPr>
        <w:t>。如果产品实际获得的收益率达到产品</w:t>
      </w:r>
      <w:r>
        <w:rPr>
          <w:rFonts w:ascii="宋体" w:hAnsi="宋体" w:hint="eastAsia"/>
          <w:sz w:val="18"/>
          <w:szCs w:val="18"/>
        </w:rPr>
        <w:t>基础资产</w:t>
      </w:r>
      <w:r w:rsidRPr="00EE19FE">
        <w:rPr>
          <w:rFonts w:ascii="宋体" w:hAnsi="宋体" w:hint="eastAsia"/>
          <w:sz w:val="18"/>
          <w:szCs w:val="18"/>
        </w:rPr>
        <w:t>预期年化收益率，则超出部分将作为产品管理费，由产品发行人收取。</w:t>
      </w:r>
    </w:p>
    <w:p w:rsidR="00A472C4" w:rsidRPr="00C3717A" w:rsidRDefault="00A472C4" w:rsidP="00885BBE">
      <w:pPr>
        <w:tabs>
          <w:tab w:val="left" w:pos="1800"/>
        </w:tabs>
        <w:ind w:firstLine="360"/>
        <w:rPr>
          <w:rFonts w:ascii="宋体" w:hAnsi="宋体"/>
          <w:sz w:val="18"/>
          <w:szCs w:val="18"/>
        </w:rPr>
      </w:pPr>
      <w:r w:rsidRPr="001B7BA5">
        <w:rPr>
          <w:rFonts w:ascii="宋体" w:hAnsi="宋体" w:hint="eastAsia"/>
          <w:sz w:val="18"/>
          <w:szCs w:val="18"/>
        </w:rPr>
        <w:t>2.在投资于基础资产的收益未按时足额回收的情况下，须根据投资于基础资产的本金及收益实际回收情况计算客户应得收益；如发生基础资产无法回收收益的最不利情况下，客户的实际收益率将为零。</w:t>
      </w:r>
    </w:p>
    <w:p w:rsidR="00A472C4" w:rsidRPr="00C3717A" w:rsidRDefault="00A472C4" w:rsidP="00885BBE">
      <w:pPr>
        <w:ind w:firstLineChars="200" w:firstLine="361"/>
        <w:outlineLvl w:val="0"/>
        <w:rPr>
          <w:rFonts w:ascii="宋体"/>
          <w:b/>
          <w:sz w:val="18"/>
          <w:szCs w:val="18"/>
        </w:rPr>
      </w:pPr>
      <w:r w:rsidRPr="00C3717A">
        <w:rPr>
          <w:rFonts w:ascii="宋体" w:hint="eastAsia"/>
          <w:b/>
          <w:sz w:val="18"/>
          <w:szCs w:val="18"/>
        </w:rPr>
        <w:t>（三）客户收益</w:t>
      </w:r>
    </w:p>
    <w:p w:rsidR="000D496A" w:rsidRPr="00C3717A" w:rsidRDefault="000D496A" w:rsidP="000D496A">
      <w:pPr>
        <w:ind w:left="360"/>
        <w:outlineLvl w:val="0"/>
        <w:rPr>
          <w:rFonts w:ascii="宋体" w:hAnsi="宋体"/>
          <w:sz w:val="18"/>
          <w:szCs w:val="18"/>
        </w:rPr>
      </w:pPr>
      <w:r w:rsidRPr="00C3717A">
        <w:rPr>
          <w:rFonts w:ascii="宋体" w:hAnsi="宋体" w:hint="eastAsia"/>
          <w:sz w:val="18"/>
          <w:szCs w:val="18"/>
        </w:rPr>
        <w:t>1.收益计算公式</w:t>
      </w:r>
    </w:p>
    <w:p w:rsidR="000D496A" w:rsidRPr="00C3717A" w:rsidRDefault="000D496A" w:rsidP="000D496A">
      <w:pPr>
        <w:ind w:firstLineChars="200" w:firstLine="360"/>
        <w:rPr>
          <w:sz w:val="18"/>
          <w:szCs w:val="18"/>
        </w:rPr>
      </w:pPr>
      <w:r w:rsidRPr="00C3717A">
        <w:rPr>
          <w:rFonts w:ascii="宋体" w:hAnsi="宋体" w:hint="eastAsia"/>
          <w:sz w:val="18"/>
          <w:szCs w:val="18"/>
        </w:rPr>
        <w:lastRenderedPageBreak/>
        <w:t>中国建设银行根据客户持有的投资本金数额、每笔</w:t>
      </w:r>
      <w:r w:rsidRPr="00C3717A">
        <w:rPr>
          <w:rFonts w:hint="eastAsia"/>
          <w:sz w:val="18"/>
          <w:szCs w:val="18"/>
        </w:rPr>
        <w:t>投资本金的实际天数及实际年化收益率计算收益。</w:t>
      </w:r>
    </w:p>
    <w:p w:rsidR="000D496A" w:rsidRPr="00C3717A" w:rsidRDefault="000D496A" w:rsidP="000D496A">
      <w:pPr>
        <w:ind w:firstLineChars="200" w:firstLine="360"/>
        <w:rPr>
          <w:rFonts w:ascii="宋体" w:hAnsi="宋体"/>
          <w:sz w:val="18"/>
          <w:szCs w:val="18"/>
        </w:rPr>
      </w:pPr>
      <w:r w:rsidRPr="00C3717A">
        <w:rPr>
          <w:rFonts w:ascii="宋体" w:hAnsi="宋体" w:hint="eastAsia"/>
          <w:sz w:val="18"/>
          <w:szCs w:val="18"/>
        </w:rPr>
        <w:t>客户收益=投资本金×实际年化收益率×产品期限天数÷365</w:t>
      </w:r>
    </w:p>
    <w:p w:rsidR="000D496A" w:rsidRPr="00C3717A" w:rsidRDefault="000D496A" w:rsidP="000D496A">
      <w:pPr>
        <w:ind w:left="360"/>
        <w:outlineLvl w:val="0"/>
        <w:rPr>
          <w:rFonts w:ascii="宋体" w:hAnsi="宋体"/>
          <w:sz w:val="18"/>
          <w:szCs w:val="18"/>
        </w:rPr>
      </w:pPr>
      <w:r w:rsidRPr="00C3717A">
        <w:rPr>
          <w:rFonts w:ascii="宋体" w:hAnsi="宋体" w:hint="eastAsia"/>
          <w:sz w:val="18"/>
          <w:szCs w:val="18"/>
        </w:rPr>
        <w:t>2.计算示例</w:t>
      </w:r>
    </w:p>
    <w:p w:rsidR="000D496A" w:rsidRPr="00C3717A" w:rsidRDefault="000D496A" w:rsidP="000D496A">
      <w:pPr>
        <w:tabs>
          <w:tab w:val="left" w:pos="1800"/>
        </w:tabs>
        <w:ind w:firstLine="360"/>
        <w:rPr>
          <w:rFonts w:ascii="宋体" w:hAnsi="宋体"/>
          <w:sz w:val="18"/>
          <w:szCs w:val="18"/>
        </w:rPr>
      </w:pPr>
      <w:r w:rsidRPr="00C3717A">
        <w:rPr>
          <w:rFonts w:ascii="宋体" w:hAnsi="宋体" w:hint="eastAsia"/>
          <w:sz w:val="18"/>
          <w:szCs w:val="18"/>
        </w:rPr>
        <w:t>假设客户</w:t>
      </w:r>
      <w:r w:rsidR="00724B04">
        <w:rPr>
          <w:rFonts w:ascii="宋体" w:hAnsi="宋体" w:hint="eastAsia"/>
          <w:color w:val="0000FF"/>
          <w:sz w:val="18"/>
          <w:szCs w:val="18"/>
        </w:rPr>
        <w:t>1</w:t>
      </w:r>
      <w:r w:rsidR="006F37A7">
        <w:rPr>
          <w:rFonts w:ascii="宋体" w:hAnsi="宋体" w:hint="eastAsia"/>
          <w:color w:val="0000FF"/>
          <w:sz w:val="18"/>
          <w:szCs w:val="18"/>
        </w:rPr>
        <w:t>000</w:t>
      </w:r>
      <w:r>
        <w:rPr>
          <w:rFonts w:ascii="宋体" w:hAnsi="宋体" w:hint="eastAsia"/>
          <w:color w:val="0000FF"/>
          <w:sz w:val="18"/>
          <w:szCs w:val="18"/>
        </w:rPr>
        <w:t>万</w:t>
      </w:r>
      <w:r w:rsidRPr="00C3717A">
        <w:rPr>
          <w:rFonts w:ascii="宋体" w:hAnsi="宋体" w:hint="eastAsia"/>
          <w:sz w:val="18"/>
          <w:szCs w:val="18"/>
        </w:rPr>
        <w:t>元投资本金，产品期限为</w:t>
      </w:r>
      <w:r w:rsidR="00556136">
        <w:rPr>
          <w:rFonts w:ascii="宋体" w:hAnsi="宋体" w:hint="eastAsia"/>
          <w:color w:val="0000FF"/>
          <w:sz w:val="18"/>
          <w:szCs w:val="18"/>
        </w:rPr>
        <w:t>366</w:t>
      </w:r>
      <w:r w:rsidRPr="00C3717A">
        <w:rPr>
          <w:rFonts w:ascii="宋体" w:hAnsi="宋体" w:hint="eastAsia"/>
          <w:sz w:val="18"/>
          <w:szCs w:val="18"/>
        </w:rPr>
        <w:t>天，中国建设银行公布的客户预期年化收益率为</w:t>
      </w:r>
      <w:r w:rsidR="003E1CC4">
        <w:rPr>
          <w:rFonts w:ascii="宋体" w:hAnsi="宋体" w:hint="eastAsia"/>
          <w:color w:val="0000FF"/>
          <w:sz w:val="18"/>
          <w:szCs w:val="18"/>
        </w:rPr>
        <w:t>3.70</w:t>
      </w:r>
      <w:r w:rsidRPr="001E351F">
        <w:rPr>
          <w:rFonts w:ascii="宋体" w:hAnsi="宋体" w:hint="eastAsia"/>
          <w:color w:val="0000FF"/>
          <w:sz w:val="18"/>
          <w:szCs w:val="18"/>
        </w:rPr>
        <w:t>%</w:t>
      </w:r>
      <w:r w:rsidRPr="001E351F">
        <w:rPr>
          <w:rFonts w:ascii="宋体" w:hAnsi="宋体" w:hint="eastAsia"/>
          <w:sz w:val="18"/>
          <w:szCs w:val="18"/>
        </w:rPr>
        <w:t>，</w:t>
      </w:r>
      <w:r w:rsidRPr="00C3717A">
        <w:rPr>
          <w:rFonts w:ascii="宋体" w:hAnsi="宋体" w:hint="eastAsia"/>
          <w:sz w:val="18"/>
          <w:szCs w:val="18"/>
        </w:rPr>
        <w:t>中途未进行预期年化收益率的调整，且在产品到期日，实际收益率达到了预期收益率，则在到期日应兑付客户的投资收益为：</w:t>
      </w:r>
    </w:p>
    <w:p w:rsidR="000D496A" w:rsidRPr="00556136" w:rsidRDefault="000D496A" w:rsidP="00724B04">
      <w:pPr>
        <w:ind w:firstLineChars="250" w:firstLine="450"/>
        <w:rPr>
          <w:rFonts w:ascii="宋体" w:hAnsi="宋体"/>
          <w:color w:val="0000FF"/>
          <w:sz w:val="18"/>
          <w:szCs w:val="18"/>
        </w:rPr>
      </w:pPr>
      <w:r w:rsidRPr="00C3717A">
        <w:rPr>
          <w:rFonts w:ascii="宋体" w:hAnsi="宋体" w:hint="eastAsia"/>
          <w:sz w:val="18"/>
          <w:szCs w:val="18"/>
        </w:rPr>
        <w:t>投资收益：</w:t>
      </w:r>
      <w:r w:rsidR="00724B04">
        <w:rPr>
          <w:rFonts w:ascii="宋体" w:hAnsi="宋体" w:hint="eastAsia"/>
          <w:color w:val="0000FF"/>
          <w:sz w:val="18"/>
          <w:szCs w:val="18"/>
        </w:rPr>
        <w:t>1</w:t>
      </w:r>
      <w:r w:rsidR="006F37A7">
        <w:rPr>
          <w:rFonts w:ascii="宋体" w:hAnsi="宋体" w:hint="eastAsia"/>
          <w:color w:val="0000FF"/>
          <w:sz w:val="18"/>
          <w:szCs w:val="18"/>
        </w:rPr>
        <w:t>0,00</w:t>
      </w:r>
      <w:r>
        <w:rPr>
          <w:rFonts w:ascii="宋体" w:hAnsi="宋体" w:hint="eastAsia"/>
          <w:color w:val="0000FF"/>
          <w:sz w:val="18"/>
          <w:szCs w:val="18"/>
        </w:rPr>
        <w:t>0,0</w:t>
      </w:r>
      <w:r w:rsidRPr="009D31DF">
        <w:rPr>
          <w:rFonts w:ascii="宋体" w:hAnsi="宋体" w:hint="eastAsia"/>
          <w:color w:val="0000FF"/>
          <w:sz w:val="18"/>
          <w:szCs w:val="18"/>
        </w:rPr>
        <w:t>00</w:t>
      </w:r>
      <w:r w:rsidRPr="009D31DF">
        <w:rPr>
          <w:rFonts w:ascii="宋体" w:hAnsi="宋体"/>
          <w:color w:val="0000FF"/>
          <w:sz w:val="18"/>
          <w:szCs w:val="18"/>
        </w:rPr>
        <w:t>×</w:t>
      </w:r>
      <w:r w:rsidR="00556136">
        <w:rPr>
          <w:rFonts w:ascii="宋体" w:hAnsi="宋体" w:hint="eastAsia"/>
          <w:color w:val="0000FF"/>
          <w:sz w:val="18"/>
          <w:szCs w:val="18"/>
        </w:rPr>
        <w:t>3.</w:t>
      </w:r>
      <w:r w:rsidR="003E1CC4">
        <w:rPr>
          <w:rFonts w:ascii="宋体" w:hAnsi="宋体" w:hint="eastAsia"/>
          <w:color w:val="0000FF"/>
          <w:sz w:val="18"/>
          <w:szCs w:val="18"/>
        </w:rPr>
        <w:t>70</w:t>
      </w:r>
      <w:r w:rsidRPr="009D31DF">
        <w:rPr>
          <w:rFonts w:ascii="宋体" w:hAnsi="宋体"/>
          <w:color w:val="0000FF"/>
          <w:sz w:val="18"/>
          <w:szCs w:val="18"/>
        </w:rPr>
        <w:t>%×</w:t>
      </w:r>
      <w:r w:rsidR="00556136">
        <w:rPr>
          <w:rFonts w:ascii="宋体" w:hAnsi="宋体" w:hint="eastAsia"/>
          <w:color w:val="0000FF"/>
          <w:sz w:val="18"/>
          <w:szCs w:val="18"/>
        </w:rPr>
        <w:t>366</w:t>
      </w:r>
      <w:r w:rsidRPr="009D31DF">
        <w:rPr>
          <w:rFonts w:ascii="宋体" w:hAnsi="宋体"/>
          <w:color w:val="0000FF"/>
          <w:sz w:val="18"/>
          <w:szCs w:val="18"/>
        </w:rPr>
        <w:t>÷365≈</w:t>
      </w:r>
      <w:r w:rsidR="003E1CC4" w:rsidRPr="003E1CC4">
        <w:rPr>
          <w:rFonts w:ascii="宋体" w:hAnsi="宋体"/>
          <w:color w:val="0000FF"/>
          <w:sz w:val="18"/>
          <w:szCs w:val="18"/>
        </w:rPr>
        <w:t>371</w:t>
      </w:r>
      <w:r w:rsidR="003E1CC4">
        <w:rPr>
          <w:rFonts w:ascii="宋体" w:hAnsi="宋体" w:hint="eastAsia"/>
          <w:color w:val="0000FF"/>
          <w:sz w:val="18"/>
          <w:szCs w:val="18"/>
        </w:rPr>
        <w:t>,</w:t>
      </w:r>
      <w:r w:rsidR="003E1CC4" w:rsidRPr="003E1CC4">
        <w:rPr>
          <w:rFonts w:ascii="宋体" w:hAnsi="宋体"/>
          <w:color w:val="0000FF"/>
          <w:sz w:val="18"/>
          <w:szCs w:val="18"/>
        </w:rPr>
        <w:t>013.70</w:t>
      </w:r>
      <w:r w:rsidRPr="00C3717A">
        <w:rPr>
          <w:rFonts w:ascii="宋体" w:hAnsi="宋体" w:hint="eastAsia"/>
          <w:sz w:val="18"/>
          <w:szCs w:val="18"/>
        </w:rPr>
        <w:t>（元）（四舍五入）</w:t>
      </w:r>
    </w:p>
    <w:p w:rsidR="00A472C4" w:rsidRPr="00C3717A" w:rsidRDefault="000D496A" w:rsidP="000D496A">
      <w:pPr>
        <w:ind w:firstLineChars="250" w:firstLine="452"/>
        <w:rPr>
          <w:rFonts w:ascii="宋体" w:hAnsi="宋体"/>
          <w:b/>
          <w:sz w:val="18"/>
          <w:szCs w:val="18"/>
        </w:rPr>
      </w:pPr>
      <w:r w:rsidRPr="00C3717A">
        <w:rPr>
          <w:rFonts w:ascii="宋体" w:hAnsi="宋体" w:hint="eastAsia"/>
          <w:b/>
          <w:sz w:val="18"/>
          <w:szCs w:val="18"/>
        </w:rPr>
        <w:t>上述示例采用假设数据计算，</w:t>
      </w:r>
      <w:r w:rsidRPr="00C3717A">
        <w:rPr>
          <w:rFonts w:hint="eastAsia"/>
          <w:b/>
          <w:szCs w:val="18"/>
        </w:rPr>
        <w:t>测算收益不等于实际收益，投资需谨慎。</w:t>
      </w:r>
    </w:p>
    <w:p w:rsidR="00761135" w:rsidRPr="00C3717A" w:rsidRDefault="00761135" w:rsidP="00556136">
      <w:pPr>
        <w:rPr>
          <w:rFonts w:ascii="宋体" w:hAnsi="宋体"/>
          <w:sz w:val="18"/>
          <w:szCs w:val="18"/>
        </w:rPr>
      </w:pPr>
    </w:p>
    <w:p w:rsidR="00A472C4" w:rsidRPr="002F1C18" w:rsidRDefault="00A472C4" w:rsidP="00885BBE">
      <w:pPr>
        <w:pStyle w:val="a4"/>
        <w:tabs>
          <w:tab w:val="left" w:pos="720"/>
        </w:tabs>
        <w:outlineLvl w:val="0"/>
        <w:rPr>
          <w:rFonts w:ascii="黑体" w:eastAsia="黑体" w:hAnsi="黑体"/>
          <w:b/>
          <w:szCs w:val="20"/>
        </w:rPr>
      </w:pPr>
      <w:r w:rsidRPr="002F1C18">
        <w:rPr>
          <w:rFonts w:ascii="黑体" w:eastAsia="黑体" w:hAnsi="黑体" w:hint="eastAsia"/>
          <w:b/>
          <w:szCs w:val="20"/>
        </w:rPr>
        <w:t>五、费用说明与收取方式</w:t>
      </w:r>
    </w:p>
    <w:p w:rsidR="00BC2D03" w:rsidRDefault="00BC2D03" w:rsidP="00885BBE">
      <w:pPr>
        <w:autoSpaceDE w:val="0"/>
        <w:autoSpaceDN w:val="0"/>
        <w:adjustRightInd w:val="0"/>
        <w:ind w:firstLine="480"/>
        <w:rPr>
          <w:rFonts w:ascii="宋体" w:cs="宋体"/>
          <w:color w:val="000000"/>
          <w:kern w:val="0"/>
          <w:sz w:val="18"/>
          <w:szCs w:val="18"/>
        </w:rPr>
      </w:pPr>
      <w:r w:rsidRPr="00673D78">
        <w:rPr>
          <w:rFonts w:ascii="宋体" w:cs="宋体" w:hint="eastAsia"/>
          <w:color w:val="000000"/>
          <w:kern w:val="0"/>
          <w:sz w:val="18"/>
          <w:szCs w:val="18"/>
        </w:rPr>
        <w:t>本期理财产品以实际募集资金总额为基础，收取的固定费用为产品销售费、产品托管费。其中销售费率</w:t>
      </w:r>
      <w:r w:rsidR="00673ED9">
        <w:rPr>
          <w:rFonts w:ascii="宋体" w:cs="宋体" w:hint="eastAsia"/>
          <w:color w:val="000000"/>
          <w:kern w:val="0"/>
          <w:sz w:val="18"/>
          <w:szCs w:val="18"/>
        </w:rPr>
        <w:t>约</w:t>
      </w:r>
      <w:r w:rsidRPr="00673D78">
        <w:rPr>
          <w:rFonts w:ascii="宋体" w:cs="宋体" w:hint="eastAsia"/>
          <w:color w:val="000000"/>
          <w:kern w:val="0"/>
          <w:sz w:val="18"/>
          <w:szCs w:val="18"/>
        </w:rPr>
        <w:t>为</w:t>
      </w:r>
      <w:r>
        <w:rPr>
          <w:rFonts w:ascii="宋体" w:cs="宋体" w:hint="eastAsia"/>
          <w:color w:val="000000"/>
          <w:kern w:val="0"/>
          <w:sz w:val="18"/>
          <w:szCs w:val="18"/>
        </w:rPr>
        <w:t>0.10</w:t>
      </w:r>
      <w:r w:rsidRPr="00673D78">
        <w:rPr>
          <w:rFonts w:ascii="宋体" w:cs="宋体" w:hint="eastAsia"/>
          <w:color w:val="000000"/>
          <w:kern w:val="0"/>
          <w:sz w:val="18"/>
          <w:szCs w:val="18"/>
        </w:rPr>
        <w:t>%/年，产品托管费率</w:t>
      </w:r>
      <w:r w:rsidR="00673ED9">
        <w:rPr>
          <w:rFonts w:ascii="宋体" w:cs="宋体" w:hint="eastAsia"/>
          <w:color w:val="000000"/>
          <w:kern w:val="0"/>
          <w:sz w:val="18"/>
          <w:szCs w:val="18"/>
        </w:rPr>
        <w:t>约</w:t>
      </w:r>
      <w:r w:rsidRPr="00673D78">
        <w:rPr>
          <w:rFonts w:ascii="宋体" w:cs="宋体" w:hint="eastAsia"/>
          <w:color w:val="000000"/>
          <w:kern w:val="0"/>
          <w:sz w:val="18"/>
          <w:szCs w:val="18"/>
        </w:rPr>
        <w:t>为</w:t>
      </w:r>
      <w:r>
        <w:rPr>
          <w:rFonts w:ascii="宋体" w:cs="宋体" w:hint="eastAsia"/>
          <w:color w:val="000000"/>
          <w:kern w:val="0"/>
          <w:sz w:val="18"/>
          <w:szCs w:val="18"/>
        </w:rPr>
        <w:t>0.0</w:t>
      </w:r>
      <w:r w:rsidR="00E258B9">
        <w:rPr>
          <w:rFonts w:ascii="宋体" w:cs="宋体" w:hint="eastAsia"/>
          <w:color w:val="000000"/>
          <w:kern w:val="0"/>
          <w:sz w:val="18"/>
          <w:szCs w:val="18"/>
        </w:rPr>
        <w:t>5</w:t>
      </w:r>
      <w:r w:rsidRPr="00673D78">
        <w:rPr>
          <w:rFonts w:ascii="宋体" w:cs="宋体" w:hint="eastAsia"/>
          <w:color w:val="000000"/>
          <w:kern w:val="0"/>
          <w:sz w:val="18"/>
          <w:szCs w:val="18"/>
        </w:rPr>
        <w:t>%/年</w:t>
      </w:r>
      <w:r w:rsidR="000279B9">
        <w:rPr>
          <w:rFonts w:ascii="宋体" w:hAnsi="宋体" w:hint="eastAsia"/>
          <w:sz w:val="18"/>
          <w:szCs w:val="18"/>
        </w:rPr>
        <w:t>。</w:t>
      </w:r>
    </w:p>
    <w:p w:rsidR="00A472C4" w:rsidRPr="00C3717A" w:rsidRDefault="00A472C4" w:rsidP="00885BBE">
      <w:pPr>
        <w:autoSpaceDE w:val="0"/>
        <w:autoSpaceDN w:val="0"/>
        <w:adjustRightInd w:val="0"/>
        <w:ind w:firstLine="480"/>
        <w:rPr>
          <w:rFonts w:ascii="宋体" w:cs="宋体"/>
          <w:kern w:val="0"/>
          <w:sz w:val="18"/>
          <w:szCs w:val="18"/>
        </w:rPr>
      </w:pPr>
      <w:r w:rsidRPr="001B7BA5">
        <w:rPr>
          <w:rFonts w:ascii="宋体" w:cs="宋体" w:hint="eastAsia"/>
          <w:kern w:val="0"/>
          <w:sz w:val="18"/>
          <w:szCs w:val="18"/>
        </w:rPr>
        <w:t>扣除上述固定费用后，若基础资产运作的实际年化净收益率超过客户预期年化收益率，则中国建设银行收取超出的部分作为产品管理的费用；扣除上述固定费用后，若基础资产运作的实际年化净收益率不超过客户预期年化收益率，中国建设银行将不再收取任何费用。</w:t>
      </w:r>
    </w:p>
    <w:p w:rsidR="00A472C4" w:rsidRDefault="00A472C4" w:rsidP="00885BBE">
      <w:pPr>
        <w:ind w:firstLineChars="200" w:firstLine="360"/>
        <w:rPr>
          <w:rFonts w:ascii="宋体" w:hAnsi="宋体"/>
          <w:sz w:val="18"/>
          <w:szCs w:val="18"/>
        </w:rPr>
      </w:pPr>
    </w:p>
    <w:p w:rsidR="00761135" w:rsidRPr="00C3717A" w:rsidRDefault="00761135" w:rsidP="00885BBE">
      <w:pPr>
        <w:ind w:firstLineChars="200" w:firstLine="360"/>
        <w:rPr>
          <w:rFonts w:ascii="宋体" w:hAnsi="宋体"/>
          <w:sz w:val="18"/>
          <w:szCs w:val="18"/>
        </w:rPr>
      </w:pPr>
    </w:p>
    <w:p w:rsidR="00A472C4" w:rsidRPr="002F1C18" w:rsidRDefault="00A472C4" w:rsidP="00885BBE">
      <w:pPr>
        <w:pStyle w:val="a4"/>
        <w:tabs>
          <w:tab w:val="left" w:pos="720"/>
        </w:tabs>
        <w:outlineLvl w:val="0"/>
        <w:rPr>
          <w:rFonts w:ascii="黑体" w:eastAsia="黑体" w:hAnsi="黑体"/>
          <w:b/>
          <w:szCs w:val="20"/>
        </w:rPr>
      </w:pPr>
      <w:r w:rsidRPr="002F1C18">
        <w:rPr>
          <w:rFonts w:ascii="黑体" w:eastAsia="黑体" w:hAnsi="黑体" w:hint="eastAsia"/>
          <w:b/>
          <w:szCs w:val="20"/>
        </w:rPr>
        <w:t>六、提前终止</w:t>
      </w:r>
    </w:p>
    <w:p w:rsidR="00A472C4" w:rsidRPr="00C3717A" w:rsidRDefault="00A472C4" w:rsidP="00885BBE">
      <w:pPr>
        <w:ind w:firstLine="360"/>
        <w:rPr>
          <w:rFonts w:ascii="宋体" w:hAnsi="宋体"/>
          <w:b/>
          <w:sz w:val="18"/>
          <w:szCs w:val="18"/>
        </w:rPr>
      </w:pPr>
      <w:r w:rsidRPr="00C3717A">
        <w:rPr>
          <w:rFonts w:ascii="宋体" w:hAnsi="宋体" w:hint="eastAsia"/>
          <w:b/>
          <w:sz w:val="18"/>
          <w:szCs w:val="18"/>
        </w:rPr>
        <w:t>（一）在本产品投资期间，中国建设银行有提前终止权。中国建设银行提前终止本产品时，将提前2个工作日以公告形式通知客户，并在提前终止日后3个工作日内向客户返还投资本金及应得收益，应得收益按实际理财期限和实际收益率计算。</w:t>
      </w:r>
    </w:p>
    <w:p w:rsidR="00A472C4" w:rsidRPr="00C3717A" w:rsidRDefault="00A472C4" w:rsidP="00885BBE">
      <w:pPr>
        <w:ind w:firstLine="360"/>
        <w:rPr>
          <w:rFonts w:ascii="宋体" w:hAnsi="宋体"/>
          <w:b/>
          <w:sz w:val="18"/>
          <w:szCs w:val="18"/>
        </w:rPr>
      </w:pPr>
      <w:r w:rsidRPr="00C3717A">
        <w:rPr>
          <w:rFonts w:ascii="宋体" w:hAnsi="宋体" w:hint="eastAsia"/>
          <w:b/>
          <w:sz w:val="18"/>
          <w:szCs w:val="18"/>
        </w:rPr>
        <w:t>（二）中国建设银行提前终止本产品的情形包括但不限于：</w:t>
      </w:r>
    </w:p>
    <w:p w:rsidR="00A472C4" w:rsidRPr="00C3717A" w:rsidRDefault="00A472C4" w:rsidP="00885BBE">
      <w:pPr>
        <w:ind w:firstLineChars="200" w:firstLine="360"/>
        <w:rPr>
          <w:rFonts w:ascii="宋体" w:hAnsi="宋体"/>
          <w:sz w:val="18"/>
          <w:szCs w:val="18"/>
        </w:rPr>
      </w:pPr>
      <w:r w:rsidRPr="00C3717A">
        <w:rPr>
          <w:rFonts w:ascii="宋体" w:hAnsi="宋体" w:hint="eastAsia"/>
          <w:sz w:val="18"/>
          <w:szCs w:val="18"/>
        </w:rPr>
        <w:t>1.如遇国家金融政策出现重大调整并影响到本产品的正常运作时，中国建设银行</w:t>
      </w:r>
      <w:r w:rsidRPr="000F5241">
        <w:rPr>
          <w:rFonts w:ascii="宋体" w:hAnsi="宋体" w:hint="eastAsia"/>
          <w:sz w:val="18"/>
          <w:szCs w:val="18"/>
        </w:rPr>
        <w:t>有权利但无义务</w:t>
      </w:r>
      <w:r w:rsidRPr="00C3717A">
        <w:rPr>
          <w:rFonts w:ascii="宋体" w:hAnsi="宋体" w:hint="eastAsia"/>
          <w:sz w:val="18"/>
          <w:szCs w:val="18"/>
        </w:rPr>
        <w:t>提前终止本产品。</w:t>
      </w:r>
    </w:p>
    <w:p w:rsidR="00A472C4" w:rsidRPr="00C3717A" w:rsidRDefault="00A472C4" w:rsidP="00885BBE">
      <w:pPr>
        <w:ind w:firstLineChars="200" w:firstLine="360"/>
        <w:rPr>
          <w:rFonts w:ascii="宋体" w:hAnsi="宋体"/>
          <w:b/>
          <w:sz w:val="18"/>
          <w:szCs w:val="18"/>
        </w:rPr>
      </w:pPr>
      <w:r w:rsidRPr="00C3717A">
        <w:rPr>
          <w:rFonts w:ascii="宋体" w:hAnsi="宋体" w:hint="eastAsia"/>
          <w:sz w:val="18"/>
          <w:szCs w:val="18"/>
        </w:rPr>
        <w:t>2.因市场发生极端重大变动或突发性事件等情形时，中国建设银行有权利但无义务提前终止本产品。</w:t>
      </w:r>
    </w:p>
    <w:p w:rsidR="00A472C4" w:rsidRPr="00C3717A" w:rsidRDefault="00A472C4" w:rsidP="00885BBE">
      <w:pPr>
        <w:ind w:left="360"/>
        <w:rPr>
          <w:rFonts w:ascii="宋体" w:hAnsi="宋体"/>
          <w:b/>
          <w:sz w:val="18"/>
          <w:szCs w:val="18"/>
        </w:rPr>
      </w:pPr>
      <w:r w:rsidRPr="00C3717A">
        <w:rPr>
          <w:rFonts w:ascii="宋体" w:hAnsi="宋体" w:hint="eastAsia"/>
          <w:b/>
          <w:sz w:val="18"/>
          <w:szCs w:val="18"/>
        </w:rPr>
        <w:t>（三）提前终止时收益计算示例：</w:t>
      </w:r>
    </w:p>
    <w:p w:rsidR="00A472C4" w:rsidRPr="00C3717A" w:rsidRDefault="00A472C4" w:rsidP="00885BBE">
      <w:pPr>
        <w:widowControl/>
        <w:ind w:firstLine="420"/>
        <w:rPr>
          <w:rFonts w:ascii="宋体" w:hAnsi="宋体" w:cs="Arial"/>
          <w:kern w:val="0"/>
          <w:sz w:val="18"/>
          <w:szCs w:val="18"/>
        </w:rPr>
      </w:pPr>
      <w:r w:rsidRPr="00C3717A">
        <w:rPr>
          <w:rFonts w:ascii="宋体" w:hAnsi="宋体" w:cs="Arial" w:hint="eastAsia"/>
          <w:kern w:val="0"/>
          <w:sz w:val="18"/>
          <w:szCs w:val="18"/>
        </w:rPr>
        <w:t>假设投资本金</w:t>
      </w:r>
      <w:r w:rsidR="00724B04">
        <w:rPr>
          <w:rFonts w:ascii="宋体" w:hAnsi="宋体" w:hint="eastAsia"/>
          <w:color w:val="0000FF"/>
          <w:sz w:val="18"/>
          <w:szCs w:val="18"/>
        </w:rPr>
        <w:t>1</w:t>
      </w:r>
      <w:r w:rsidR="002D4EDC">
        <w:rPr>
          <w:rFonts w:ascii="宋体" w:hAnsi="宋体" w:hint="eastAsia"/>
          <w:color w:val="0000FF"/>
          <w:sz w:val="18"/>
          <w:szCs w:val="18"/>
        </w:rPr>
        <w:t>000</w:t>
      </w:r>
      <w:r w:rsidR="00706ED3">
        <w:rPr>
          <w:rFonts w:ascii="宋体" w:hAnsi="宋体" w:hint="eastAsia"/>
          <w:color w:val="0000FF"/>
          <w:sz w:val="18"/>
          <w:szCs w:val="18"/>
        </w:rPr>
        <w:t>万</w:t>
      </w:r>
      <w:r w:rsidR="00706ED3" w:rsidRPr="00C3717A">
        <w:rPr>
          <w:rFonts w:ascii="宋体" w:hAnsi="宋体" w:hint="eastAsia"/>
          <w:sz w:val="18"/>
          <w:szCs w:val="18"/>
        </w:rPr>
        <w:t>元</w:t>
      </w:r>
      <w:r w:rsidRPr="00C3717A">
        <w:rPr>
          <w:rFonts w:ascii="宋体" w:hAnsi="宋体" w:cs="Arial" w:hint="eastAsia"/>
          <w:kern w:val="0"/>
          <w:sz w:val="18"/>
          <w:szCs w:val="18"/>
        </w:rPr>
        <w:t>，产品期限</w:t>
      </w:r>
      <w:r w:rsidR="00556136">
        <w:rPr>
          <w:rFonts w:ascii="宋体" w:hAnsi="宋体" w:hint="eastAsia"/>
          <w:color w:val="0000FF"/>
          <w:sz w:val="18"/>
          <w:szCs w:val="18"/>
        </w:rPr>
        <w:t>366</w:t>
      </w:r>
      <w:r w:rsidRPr="00C3717A">
        <w:rPr>
          <w:rFonts w:ascii="宋体" w:hAnsi="宋体" w:cs="Arial" w:hint="eastAsia"/>
          <w:kern w:val="0"/>
          <w:sz w:val="18"/>
          <w:szCs w:val="18"/>
        </w:rPr>
        <w:t>天，因产品提前终止，实际理财天数为</w:t>
      </w:r>
      <w:r w:rsidRPr="008B2297">
        <w:rPr>
          <w:rFonts w:ascii="宋体" w:hAnsi="宋体" w:cs="Arial" w:hint="eastAsia"/>
          <w:color w:val="0000FF"/>
          <w:kern w:val="0"/>
          <w:sz w:val="18"/>
          <w:szCs w:val="18"/>
        </w:rPr>
        <w:t>10</w:t>
      </w:r>
      <w:r w:rsidRPr="00C3717A">
        <w:rPr>
          <w:rFonts w:ascii="宋体" w:hAnsi="宋体" w:cs="Arial" w:hint="eastAsia"/>
          <w:kern w:val="0"/>
          <w:sz w:val="18"/>
          <w:szCs w:val="18"/>
        </w:rPr>
        <w:t>天，实际年化收益率</w:t>
      </w:r>
      <w:r w:rsidR="00556136">
        <w:rPr>
          <w:rFonts w:ascii="宋体" w:hAnsi="宋体" w:cs="Arial" w:hint="eastAsia"/>
          <w:color w:val="0000FF"/>
          <w:kern w:val="0"/>
          <w:sz w:val="18"/>
          <w:szCs w:val="18"/>
        </w:rPr>
        <w:t>3.</w:t>
      </w:r>
      <w:r w:rsidR="00491349">
        <w:rPr>
          <w:rFonts w:ascii="宋体" w:hAnsi="宋体" w:cs="Arial" w:hint="eastAsia"/>
          <w:color w:val="0000FF"/>
          <w:kern w:val="0"/>
          <w:sz w:val="18"/>
          <w:szCs w:val="18"/>
        </w:rPr>
        <w:t>70</w:t>
      </w:r>
      <w:r w:rsidRPr="00DB0D10">
        <w:rPr>
          <w:rFonts w:ascii="宋体" w:hAnsi="宋体" w:cs="Arial"/>
          <w:color w:val="0000FF"/>
          <w:kern w:val="0"/>
          <w:sz w:val="18"/>
          <w:szCs w:val="18"/>
        </w:rPr>
        <w:t>%</w:t>
      </w:r>
      <w:r w:rsidRPr="00C3717A">
        <w:rPr>
          <w:rFonts w:ascii="宋体" w:hAnsi="宋体" w:cs="Arial" w:hint="eastAsia"/>
          <w:kern w:val="0"/>
          <w:sz w:val="18"/>
          <w:szCs w:val="18"/>
        </w:rPr>
        <w:t>。则在提前终止日，应兑付给客户的投资收益为：</w:t>
      </w:r>
    </w:p>
    <w:p w:rsidR="00523265" w:rsidRPr="00556136" w:rsidRDefault="00A472C4" w:rsidP="00724B04">
      <w:pPr>
        <w:widowControl/>
        <w:ind w:firstLine="420"/>
        <w:rPr>
          <w:rFonts w:ascii="宋体" w:hAnsi="宋体" w:cs="Arial"/>
          <w:color w:val="0000FF"/>
          <w:kern w:val="0"/>
          <w:sz w:val="18"/>
          <w:szCs w:val="18"/>
        </w:rPr>
      </w:pPr>
      <w:r w:rsidRPr="00C3717A">
        <w:rPr>
          <w:rFonts w:ascii="宋体" w:hAnsi="宋体" w:cs="Arial" w:hint="eastAsia"/>
          <w:kern w:val="0"/>
          <w:sz w:val="18"/>
          <w:szCs w:val="18"/>
        </w:rPr>
        <w:t>则客户收益＝</w:t>
      </w:r>
      <w:r w:rsidR="00724B04">
        <w:rPr>
          <w:rFonts w:ascii="宋体" w:hAnsi="宋体" w:cs="Arial" w:hint="eastAsia"/>
          <w:color w:val="0000FF"/>
          <w:kern w:val="0"/>
          <w:sz w:val="18"/>
          <w:szCs w:val="18"/>
        </w:rPr>
        <w:t>1</w:t>
      </w:r>
      <w:r w:rsidR="002D4EDC" w:rsidRPr="002D4EDC">
        <w:rPr>
          <w:rFonts w:ascii="宋体" w:hAnsi="宋体" w:cs="Arial" w:hint="eastAsia"/>
          <w:color w:val="0000FF"/>
          <w:kern w:val="0"/>
          <w:sz w:val="18"/>
          <w:szCs w:val="18"/>
        </w:rPr>
        <w:t>0</w:t>
      </w:r>
      <w:r w:rsidR="002D4EDC">
        <w:rPr>
          <w:rFonts w:ascii="宋体" w:hAnsi="宋体" w:cs="Arial" w:hint="eastAsia"/>
          <w:color w:val="0000FF"/>
          <w:kern w:val="0"/>
          <w:sz w:val="18"/>
          <w:szCs w:val="18"/>
        </w:rPr>
        <w:t>,</w:t>
      </w:r>
      <w:r w:rsidR="002D4EDC" w:rsidRPr="002D4EDC">
        <w:rPr>
          <w:rFonts w:ascii="宋体" w:hAnsi="宋体" w:cs="Arial" w:hint="eastAsia"/>
          <w:color w:val="0000FF"/>
          <w:kern w:val="0"/>
          <w:sz w:val="18"/>
          <w:szCs w:val="18"/>
        </w:rPr>
        <w:t>00</w:t>
      </w:r>
      <w:r w:rsidR="00794D28">
        <w:rPr>
          <w:rFonts w:ascii="宋体" w:hAnsi="宋体" w:cs="Arial" w:hint="eastAsia"/>
          <w:color w:val="0000FF"/>
          <w:kern w:val="0"/>
          <w:sz w:val="18"/>
          <w:szCs w:val="18"/>
        </w:rPr>
        <w:t>0</w:t>
      </w:r>
      <w:r w:rsidR="00661136" w:rsidRPr="00D15A1F">
        <w:rPr>
          <w:rFonts w:ascii="宋体" w:hAnsi="宋体" w:cs="Arial" w:hint="eastAsia"/>
          <w:color w:val="0000FF"/>
          <w:kern w:val="0"/>
          <w:sz w:val="18"/>
          <w:szCs w:val="18"/>
        </w:rPr>
        <w:t>,</w:t>
      </w:r>
      <w:r w:rsidR="003050BE" w:rsidRPr="00D15A1F">
        <w:rPr>
          <w:rFonts w:ascii="宋体" w:hAnsi="宋体" w:hint="eastAsia"/>
          <w:color w:val="0000FF"/>
          <w:sz w:val="18"/>
          <w:szCs w:val="18"/>
        </w:rPr>
        <w:t>000</w:t>
      </w:r>
      <w:r w:rsidR="003050BE" w:rsidRPr="008B2297">
        <w:rPr>
          <w:rFonts w:ascii="宋体" w:hAnsi="宋体"/>
          <w:color w:val="0000FF"/>
          <w:sz w:val="18"/>
          <w:szCs w:val="18"/>
        </w:rPr>
        <w:t>×</w:t>
      </w:r>
      <w:r w:rsidR="00556136">
        <w:rPr>
          <w:rFonts w:ascii="宋体" w:hAnsi="宋体" w:hint="eastAsia"/>
          <w:color w:val="0000FF"/>
          <w:sz w:val="18"/>
          <w:szCs w:val="18"/>
        </w:rPr>
        <w:t>3.</w:t>
      </w:r>
      <w:r w:rsidR="00491349">
        <w:rPr>
          <w:rFonts w:ascii="宋体" w:hAnsi="宋体" w:hint="eastAsia"/>
          <w:color w:val="0000FF"/>
          <w:sz w:val="18"/>
          <w:szCs w:val="18"/>
        </w:rPr>
        <w:t>70</w:t>
      </w:r>
      <w:r w:rsidR="003050BE" w:rsidRPr="008B2297">
        <w:rPr>
          <w:rFonts w:ascii="宋体" w:hAnsi="宋体"/>
          <w:color w:val="0000FF"/>
          <w:sz w:val="18"/>
          <w:szCs w:val="18"/>
        </w:rPr>
        <w:t>%</w:t>
      </w:r>
      <w:r w:rsidRPr="008B2297">
        <w:rPr>
          <w:rFonts w:ascii="宋体" w:hAnsi="宋体" w:cs="Arial"/>
          <w:color w:val="0000FF"/>
          <w:kern w:val="0"/>
          <w:sz w:val="18"/>
          <w:szCs w:val="18"/>
        </w:rPr>
        <w:t>×</w:t>
      </w:r>
      <w:r w:rsidRPr="008B2297">
        <w:rPr>
          <w:rFonts w:ascii="宋体" w:hAnsi="宋体" w:cs="Arial" w:hint="eastAsia"/>
          <w:color w:val="0000FF"/>
          <w:kern w:val="0"/>
          <w:sz w:val="18"/>
          <w:szCs w:val="18"/>
        </w:rPr>
        <w:t>10</w:t>
      </w:r>
      <w:r w:rsidRPr="008B2297">
        <w:rPr>
          <w:rFonts w:ascii="宋体" w:hAnsi="宋体" w:cs="Arial"/>
          <w:color w:val="0000FF"/>
          <w:kern w:val="0"/>
          <w:sz w:val="18"/>
          <w:szCs w:val="18"/>
        </w:rPr>
        <w:t>÷365≈</w:t>
      </w:r>
      <w:r w:rsidR="00491349" w:rsidRPr="00491349">
        <w:rPr>
          <w:rFonts w:ascii="宋体" w:hAnsi="宋体" w:cs="Arial"/>
          <w:color w:val="0000FF"/>
          <w:kern w:val="0"/>
          <w:sz w:val="18"/>
          <w:szCs w:val="18"/>
        </w:rPr>
        <w:t>10</w:t>
      </w:r>
      <w:r w:rsidR="00491349">
        <w:rPr>
          <w:rFonts w:ascii="宋体" w:hAnsi="宋体" w:cs="Arial" w:hint="eastAsia"/>
          <w:color w:val="0000FF"/>
          <w:kern w:val="0"/>
          <w:sz w:val="18"/>
          <w:szCs w:val="18"/>
        </w:rPr>
        <w:t>,</w:t>
      </w:r>
      <w:r w:rsidR="00491349" w:rsidRPr="00491349">
        <w:rPr>
          <w:rFonts w:ascii="宋体" w:hAnsi="宋体" w:cs="Arial"/>
          <w:color w:val="0000FF"/>
          <w:kern w:val="0"/>
          <w:sz w:val="18"/>
          <w:szCs w:val="18"/>
        </w:rPr>
        <w:t>136.99</w:t>
      </w:r>
      <w:r w:rsidR="00A414D5">
        <w:rPr>
          <w:rFonts w:ascii="宋体" w:hAnsi="宋体" w:cs="Arial" w:hint="eastAsia"/>
          <w:color w:val="0000FF"/>
          <w:kern w:val="0"/>
          <w:sz w:val="18"/>
          <w:szCs w:val="18"/>
        </w:rPr>
        <w:t>（</w:t>
      </w:r>
      <w:r w:rsidRPr="00C3717A">
        <w:rPr>
          <w:rFonts w:ascii="宋体" w:hAnsi="宋体" w:cs="Arial" w:hint="eastAsia"/>
          <w:kern w:val="0"/>
          <w:sz w:val="18"/>
          <w:szCs w:val="18"/>
        </w:rPr>
        <w:t>元）（四舍五入）</w:t>
      </w:r>
    </w:p>
    <w:p w:rsidR="00A472C4" w:rsidRPr="00C3717A" w:rsidRDefault="00A472C4" w:rsidP="00885BBE">
      <w:pPr>
        <w:widowControl/>
        <w:ind w:firstLine="420"/>
        <w:rPr>
          <w:rFonts w:ascii="宋体" w:hAnsi="宋体" w:cs="Arial"/>
          <w:b/>
          <w:kern w:val="0"/>
          <w:sz w:val="18"/>
          <w:szCs w:val="18"/>
        </w:rPr>
      </w:pPr>
      <w:r w:rsidRPr="00C3717A">
        <w:rPr>
          <w:rFonts w:ascii="宋体" w:hAnsi="宋体" w:cs="Arial" w:hint="eastAsia"/>
          <w:b/>
          <w:kern w:val="0"/>
          <w:sz w:val="18"/>
          <w:szCs w:val="18"/>
        </w:rPr>
        <w:t>上述示例均采用假设数据计算，</w:t>
      </w:r>
      <w:r w:rsidRPr="00C3717A">
        <w:rPr>
          <w:rFonts w:hint="eastAsia"/>
          <w:b/>
          <w:szCs w:val="18"/>
        </w:rPr>
        <w:t>测算收益不等于实际收益，投资需谨慎。</w:t>
      </w:r>
    </w:p>
    <w:p w:rsidR="00761135" w:rsidRDefault="00761135" w:rsidP="00885BBE">
      <w:pPr>
        <w:pStyle w:val="a4"/>
        <w:tabs>
          <w:tab w:val="left" w:pos="720"/>
        </w:tabs>
        <w:outlineLvl w:val="0"/>
        <w:rPr>
          <w:rFonts w:ascii="黑体" w:eastAsia="黑体" w:hAnsi="黑体"/>
          <w:b/>
          <w:szCs w:val="20"/>
        </w:rPr>
      </w:pPr>
    </w:p>
    <w:p w:rsidR="00761135" w:rsidRDefault="00761135" w:rsidP="00885BBE">
      <w:pPr>
        <w:pStyle w:val="a4"/>
        <w:tabs>
          <w:tab w:val="left" w:pos="720"/>
        </w:tabs>
        <w:outlineLvl w:val="0"/>
        <w:rPr>
          <w:rFonts w:ascii="黑体" w:eastAsia="黑体" w:hAnsi="黑体"/>
          <w:b/>
          <w:szCs w:val="20"/>
        </w:rPr>
      </w:pPr>
    </w:p>
    <w:p w:rsidR="00A472C4" w:rsidRPr="002F1C18" w:rsidRDefault="00A472C4" w:rsidP="00885BBE">
      <w:pPr>
        <w:pStyle w:val="a4"/>
        <w:tabs>
          <w:tab w:val="left" w:pos="720"/>
        </w:tabs>
        <w:outlineLvl w:val="0"/>
        <w:rPr>
          <w:rFonts w:ascii="黑体" w:eastAsia="黑体" w:hAnsi="黑体"/>
          <w:b/>
          <w:szCs w:val="20"/>
        </w:rPr>
      </w:pPr>
      <w:r w:rsidRPr="002F1C18">
        <w:rPr>
          <w:rFonts w:ascii="黑体" w:eastAsia="黑体" w:hAnsi="黑体" w:hint="eastAsia"/>
          <w:b/>
          <w:szCs w:val="20"/>
        </w:rPr>
        <w:t>七、理财产品到期本金及收益兑付</w:t>
      </w:r>
    </w:p>
    <w:p w:rsidR="00A472C4" w:rsidRPr="00C3717A" w:rsidRDefault="00A472C4" w:rsidP="00885BBE">
      <w:pPr>
        <w:ind w:firstLineChars="200" w:firstLine="361"/>
        <w:rPr>
          <w:rFonts w:ascii="宋体" w:hAnsi="宋体"/>
          <w:b/>
          <w:bCs/>
          <w:sz w:val="18"/>
          <w:szCs w:val="18"/>
        </w:rPr>
      </w:pPr>
      <w:r w:rsidRPr="00C3717A">
        <w:rPr>
          <w:rFonts w:ascii="宋体" w:hAnsi="宋体"/>
          <w:b/>
          <w:bCs/>
          <w:sz w:val="18"/>
          <w:szCs w:val="18"/>
        </w:rPr>
        <w:t>1.</w:t>
      </w:r>
      <w:r w:rsidRPr="00C3717A">
        <w:rPr>
          <w:rFonts w:ascii="宋体" w:hAnsi="宋体" w:hint="eastAsia"/>
          <w:b/>
          <w:bCs/>
          <w:sz w:val="18"/>
          <w:szCs w:val="18"/>
        </w:rPr>
        <w:t>正常兑付</w:t>
      </w:r>
    </w:p>
    <w:p w:rsidR="00A472C4" w:rsidRPr="00C3717A" w:rsidRDefault="00A472C4" w:rsidP="00885BBE">
      <w:pPr>
        <w:ind w:firstLineChars="200" w:firstLine="361"/>
        <w:rPr>
          <w:rFonts w:ascii="宋体" w:hAnsi="宋体"/>
          <w:b/>
          <w:bCs/>
          <w:sz w:val="18"/>
          <w:szCs w:val="18"/>
        </w:rPr>
      </w:pPr>
      <w:r w:rsidRPr="00C3717A">
        <w:rPr>
          <w:rFonts w:ascii="宋体" w:hAnsi="宋体" w:hint="eastAsia"/>
          <w:b/>
          <w:bCs/>
          <w:sz w:val="18"/>
          <w:szCs w:val="18"/>
        </w:rPr>
        <w:t>客户持有产品至产品到期日，客户的理财本金和相应的收益在产品到期后一次性支付。中国建设银行于产品到期日后</w:t>
      </w:r>
      <w:r w:rsidRPr="00C3717A">
        <w:rPr>
          <w:rFonts w:ascii="宋体" w:hAnsi="宋体"/>
          <w:b/>
          <w:bCs/>
          <w:sz w:val="18"/>
          <w:szCs w:val="18"/>
        </w:rPr>
        <w:t>1</w:t>
      </w:r>
      <w:r w:rsidRPr="00C3717A">
        <w:rPr>
          <w:rFonts w:ascii="宋体" w:hAnsi="宋体" w:hint="eastAsia"/>
          <w:b/>
          <w:bCs/>
          <w:sz w:val="18"/>
          <w:szCs w:val="18"/>
        </w:rPr>
        <w:t>个工作日内将客户理财本金和收益划转至投资者协议约定账户，遇法定节假日顺延。</w:t>
      </w:r>
    </w:p>
    <w:p w:rsidR="00A472C4" w:rsidRPr="00C3717A" w:rsidRDefault="00A472C4" w:rsidP="00885BBE">
      <w:pPr>
        <w:ind w:firstLineChars="200" w:firstLine="361"/>
        <w:rPr>
          <w:rFonts w:ascii="宋体" w:hAnsi="宋体"/>
          <w:b/>
          <w:bCs/>
          <w:sz w:val="18"/>
          <w:szCs w:val="18"/>
        </w:rPr>
      </w:pPr>
      <w:r w:rsidRPr="00C3717A">
        <w:rPr>
          <w:rFonts w:ascii="宋体" w:hAnsi="宋体"/>
          <w:b/>
          <w:bCs/>
          <w:sz w:val="18"/>
          <w:szCs w:val="18"/>
        </w:rPr>
        <w:t>2.</w:t>
      </w:r>
      <w:r w:rsidRPr="00C3717A">
        <w:rPr>
          <w:rFonts w:ascii="宋体" w:hAnsi="宋体" w:hint="eastAsia"/>
          <w:b/>
          <w:bCs/>
          <w:sz w:val="18"/>
          <w:szCs w:val="18"/>
        </w:rPr>
        <w:t>非正常情况</w:t>
      </w:r>
    </w:p>
    <w:p w:rsidR="00A472C4" w:rsidRPr="00C3717A" w:rsidRDefault="00A472C4" w:rsidP="00885BBE">
      <w:pPr>
        <w:ind w:firstLineChars="200" w:firstLine="361"/>
        <w:rPr>
          <w:rFonts w:ascii="宋体" w:hAnsi="宋体"/>
          <w:b/>
          <w:bCs/>
          <w:sz w:val="18"/>
          <w:szCs w:val="18"/>
        </w:rPr>
      </w:pPr>
      <w:r w:rsidRPr="00C3717A">
        <w:rPr>
          <w:rFonts w:ascii="宋体" w:hAnsi="宋体" w:hint="eastAsia"/>
          <w:b/>
          <w:bCs/>
          <w:sz w:val="18"/>
          <w:szCs w:val="18"/>
        </w:rPr>
        <w:t>如果发生异常情形，造成本产品的基础资产无法及时、足额变现，中国建设银行可以根据实际情况选择向客户延迟兑付或者分次兑付，并于发生上述情形后的</w:t>
      </w:r>
      <w:r w:rsidRPr="00C3717A">
        <w:rPr>
          <w:rFonts w:ascii="宋体" w:hAnsi="宋体"/>
          <w:b/>
          <w:bCs/>
          <w:sz w:val="18"/>
          <w:szCs w:val="18"/>
        </w:rPr>
        <w:t>2</w:t>
      </w:r>
      <w:r w:rsidRPr="00C3717A">
        <w:rPr>
          <w:rFonts w:ascii="宋体" w:hAnsi="宋体" w:hint="eastAsia"/>
          <w:b/>
          <w:bCs/>
          <w:sz w:val="18"/>
          <w:szCs w:val="18"/>
        </w:rPr>
        <w:t>个工作日内在中国建设银行互联网站公告兑付方案。</w:t>
      </w:r>
    </w:p>
    <w:p w:rsidR="00A472C4" w:rsidRDefault="00A472C4" w:rsidP="00885BBE">
      <w:pPr>
        <w:ind w:firstLineChars="200" w:firstLine="360"/>
        <w:rPr>
          <w:rFonts w:ascii="宋体" w:hAnsi="宋体"/>
          <w:sz w:val="18"/>
          <w:szCs w:val="18"/>
        </w:rPr>
      </w:pPr>
    </w:p>
    <w:p w:rsidR="00E5336F" w:rsidRPr="00C3717A" w:rsidRDefault="00E5336F" w:rsidP="00885BBE">
      <w:pPr>
        <w:ind w:firstLineChars="200" w:firstLine="360"/>
        <w:rPr>
          <w:rFonts w:ascii="宋体" w:hAnsi="宋体"/>
          <w:sz w:val="18"/>
          <w:szCs w:val="18"/>
        </w:rPr>
      </w:pPr>
    </w:p>
    <w:p w:rsidR="00A472C4" w:rsidRPr="002F1C18" w:rsidRDefault="00A472C4" w:rsidP="00885BBE">
      <w:pPr>
        <w:pStyle w:val="a4"/>
        <w:tabs>
          <w:tab w:val="left" w:pos="720"/>
        </w:tabs>
        <w:outlineLvl w:val="0"/>
        <w:rPr>
          <w:rFonts w:ascii="黑体" w:eastAsia="黑体" w:hAnsi="黑体"/>
          <w:b/>
          <w:szCs w:val="20"/>
        </w:rPr>
      </w:pPr>
      <w:r w:rsidRPr="002F1C18">
        <w:rPr>
          <w:rFonts w:ascii="黑体" w:eastAsia="黑体" w:hAnsi="黑体" w:hint="eastAsia"/>
          <w:b/>
          <w:szCs w:val="20"/>
        </w:rPr>
        <w:lastRenderedPageBreak/>
        <w:t>八、信息披露</w:t>
      </w:r>
    </w:p>
    <w:p w:rsidR="00A472C4" w:rsidRPr="00C3717A" w:rsidRDefault="00A472C4" w:rsidP="00885BBE">
      <w:pPr>
        <w:ind w:firstLine="360"/>
        <w:rPr>
          <w:rFonts w:ascii="宋体" w:hAnsi="宋体"/>
          <w:sz w:val="18"/>
          <w:szCs w:val="18"/>
        </w:rPr>
      </w:pPr>
      <w:r w:rsidRPr="00C3717A">
        <w:rPr>
          <w:rFonts w:ascii="宋体" w:hAnsi="宋体" w:hint="eastAsia"/>
          <w:sz w:val="18"/>
          <w:szCs w:val="18"/>
        </w:rPr>
        <w:t>1.中国建设银行通过中国建设银行网站（www.ccb.com</w:t>
      </w:r>
      <w:r>
        <w:rPr>
          <w:rFonts w:ascii="宋体" w:hAnsi="宋体" w:hint="eastAsia"/>
          <w:sz w:val="18"/>
          <w:szCs w:val="18"/>
        </w:rPr>
        <w:t>/sn</w:t>
      </w:r>
      <w:r w:rsidRPr="00C3717A">
        <w:rPr>
          <w:rFonts w:ascii="宋体" w:hAnsi="宋体" w:hint="eastAsia"/>
          <w:sz w:val="18"/>
          <w:szCs w:val="18"/>
        </w:rPr>
        <w:t>）发布产品以下相关信息：在产品成立、正常终止或发生对产品产生重大影响之情形后的5个产品工作日内发布产品成立、产品终止、重大影响事件等信息；</w:t>
      </w:r>
      <w:r w:rsidRPr="00C3717A">
        <w:rPr>
          <w:rFonts w:ascii="宋体" w:hAnsi="宋体" w:hint="eastAsia"/>
          <w:bCs/>
          <w:sz w:val="18"/>
          <w:szCs w:val="18"/>
        </w:rPr>
        <w:t>如产品发生</w:t>
      </w:r>
      <w:r w:rsidRPr="00C3717A">
        <w:rPr>
          <w:rFonts w:ascii="宋体" w:hAnsi="宋体" w:hint="eastAsia"/>
          <w:b/>
          <w:sz w:val="18"/>
          <w:szCs w:val="18"/>
        </w:rPr>
        <w:t>延迟兑付或者分次兑付，于发生上述情形后的2个工作日内公告兑付方案；</w:t>
      </w:r>
      <w:r w:rsidRPr="00C3717A">
        <w:rPr>
          <w:rFonts w:ascii="宋体" w:hAnsi="宋体" w:hint="eastAsia"/>
          <w:sz w:val="18"/>
          <w:szCs w:val="18"/>
        </w:rPr>
        <w:t>如中国建设银行行使提前终止权、调整预期年化收益率、调整产品规模上下限、优化或升级产品等，则需在提前终止日、新的预期收益率生效之日、增设产品规模上限或调整规模上下限之日、产品升级或优化日等相关日之前至少2个工作日进行公布。请客户注意及时在上述网站上自行查询。</w:t>
      </w:r>
    </w:p>
    <w:p w:rsidR="00A472C4" w:rsidRPr="00C3717A" w:rsidRDefault="00A472C4" w:rsidP="00885BBE">
      <w:pPr>
        <w:ind w:firstLine="360"/>
        <w:rPr>
          <w:rFonts w:ascii="宋体" w:hAnsi="宋体"/>
          <w:sz w:val="18"/>
          <w:szCs w:val="18"/>
        </w:rPr>
      </w:pPr>
      <w:r w:rsidRPr="00C3717A">
        <w:rPr>
          <w:rFonts w:ascii="宋体" w:hAnsi="宋体" w:hint="eastAsia"/>
          <w:b/>
          <w:sz w:val="18"/>
          <w:szCs w:val="18"/>
          <w:u w:val="single"/>
        </w:rPr>
        <w:t>2.客户同意，中国建设银行通过上述网站进行信息披露，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A472C4" w:rsidRPr="00C3717A" w:rsidRDefault="00A472C4" w:rsidP="00885BBE">
      <w:pPr>
        <w:ind w:firstLine="360"/>
        <w:rPr>
          <w:rFonts w:ascii="宋体" w:hAnsi="宋体"/>
          <w:sz w:val="18"/>
          <w:szCs w:val="18"/>
        </w:rPr>
      </w:pPr>
      <w:r w:rsidRPr="00C3717A">
        <w:rPr>
          <w:rFonts w:ascii="宋体" w:hAnsi="宋体" w:hint="eastAsia"/>
          <w:sz w:val="18"/>
          <w:szCs w:val="18"/>
        </w:rPr>
        <w:t>3.中国建设银行为客户提供本产品相关账单信息。本产品成立后，个人客户可凭本人身份证件和《中国建设银行股份有限公司理财产品客户协议书》在购买本产品的原中国建设银行营业网点打印本产品相关账单信息；</w:t>
      </w:r>
      <w:r>
        <w:rPr>
          <w:rFonts w:ascii="宋体" w:hAnsi="宋体" w:hint="eastAsia"/>
          <w:sz w:val="18"/>
          <w:szCs w:val="18"/>
        </w:rPr>
        <w:t>机构</w:t>
      </w:r>
      <w:r w:rsidRPr="00C3717A">
        <w:rPr>
          <w:rFonts w:ascii="宋体" w:hAnsi="宋体" w:hint="eastAsia"/>
          <w:sz w:val="18"/>
          <w:szCs w:val="18"/>
        </w:rPr>
        <w:t>客户可凭交易账户对应的开户印鉴、有效机构证件和《中国建设银行股份有限公司理财产品客户协议书》在购买本产品的原中国建设银行营业网点打印本产品相关账单信息。</w:t>
      </w:r>
    </w:p>
    <w:p w:rsidR="00D82251" w:rsidRPr="00E33F80" w:rsidRDefault="00D82251" w:rsidP="00D82251">
      <w:pPr>
        <w:pStyle w:val="a4"/>
        <w:spacing w:after="0"/>
        <w:ind w:leftChars="0" w:left="0"/>
        <w:jc w:val="center"/>
        <w:rPr>
          <w:rFonts w:ascii="宋体" w:hAnsi="宋体"/>
          <w:b/>
          <w:sz w:val="30"/>
          <w:szCs w:val="30"/>
        </w:rPr>
      </w:pPr>
      <w:r>
        <w:br w:type="page"/>
      </w:r>
      <w:r w:rsidRPr="00E33F80">
        <w:rPr>
          <w:rFonts w:ascii="宋体" w:hAnsi="宋体" w:hint="eastAsia"/>
          <w:b/>
          <w:sz w:val="30"/>
          <w:szCs w:val="30"/>
        </w:rPr>
        <w:lastRenderedPageBreak/>
        <w:t>中国建设银行陕西分行“乾元”保本型人民币理财产品</w:t>
      </w:r>
    </w:p>
    <w:p w:rsidR="00D82251" w:rsidRPr="00E33F80" w:rsidRDefault="00D82251" w:rsidP="00D82251">
      <w:pPr>
        <w:pStyle w:val="a4"/>
        <w:spacing w:after="0"/>
        <w:ind w:leftChars="0" w:left="0"/>
        <w:jc w:val="center"/>
        <w:rPr>
          <w:rFonts w:ascii="宋体" w:hAnsi="宋体"/>
          <w:b/>
          <w:sz w:val="30"/>
          <w:szCs w:val="30"/>
        </w:rPr>
      </w:pPr>
      <w:r w:rsidRPr="00E33F80">
        <w:rPr>
          <w:rFonts w:ascii="宋体" w:hAnsi="宋体" w:hint="eastAsia"/>
          <w:b/>
          <w:sz w:val="30"/>
          <w:szCs w:val="30"/>
        </w:rPr>
        <w:t>201</w:t>
      </w:r>
      <w:r w:rsidR="00BA19E0">
        <w:rPr>
          <w:rFonts w:ascii="宋体" w:hAnsi="宋体" w:hint="eastAsia"/>
          <w:b/>
          <w:sz w:val="30"/>
          <w:szCs w:val="30"/>
        </w:rPr>
        <w:t>5</w:t>
      </w:r>
      <w:r w:rsidRPr="00E33F80">
        <w:rPr>
          <w:rFonts w:ascii="宋体" w:hAnsi="宋体" w:hint="eastAsia"/>
          <w:b/>
          <w:sz w:val="30"/>
          <w:szCs w:val="30"/>
        </w:rPr>
        <w:t>年第</w:t>
      </w:r>
      <w:r w:rsidR="00556136">
        <w:rPr>
          <w:rFonts w:ascii="宋体" w:hAnsi="宋体" w:hint="eastAsia"/>
          <w:b/>
          <w:color w:val="0000FF"/>
          <w:sz w:val="30"/>
          <w:szCs w:val="30"/>
        </w:rPr>
        <w:t>6</w:t>
      </w:r>
      <w:r w:rsidR="001A4641">
        <w:rPr>
          <w:rFonts w:ascii="宋体" w:hAnsi="宋体" w:hint="eastAsia"/>
          <w:b/>
          <w:color w:val="0000FF"/>
          <w:sz w:val="30"/>
          <w:szCs w:val="30"/>
        </w:rPr>
        <w:t>2</w:t>
      </w:r>
      <w:r w:rsidR="00556136">
        <w:rPr>
          <w:rFonts w:ascii="宋体" w:hAnsi="宋体" w:hint="eastAsia"/>
          <w:b/>
          <w:color w:val="0000FF"/>
          <w:sz w:val="30"/>
          <w:szCs w:val="30"/>
        </w:rPr>
        <w:t>9</w:t>
      </w:r>
      <w:r w:rsidRPr="00E33F80">
        <w:rPr>
          <w:rFonts w:ascii="宋体" w:hAnsi="宋体" w:hint="eastAsia"/>
          <w:b/>
          <w:sz w:val="30"/>
          <w:szCs w:val="30"/>
        </w:rPr>
        <w:t>期风险揭示书</w:t>
      </w:r>
    </w:p>
    <w:p w:rsidR="00D82251" w:rsidRPr="00E33F80" w:rsidRDefault="00D82251" w:rsidP="00D82251">
      <w:pPr>
        <w:pStyle w:val="a4"/>
        <w:tabs>
          <w:tab w:val="left" w:pos="720"/>
        </w:tabs>
        <w:spacing w:before="100" w:beforeAutospacing="1" w:after="0"/>
        <w:ind w:leftChars="0" w:left="0"/>
        <w:jc w:val="center"/>
        <w:rPr>
          <w:rFonts w:ascii="黑体" w:eastAsia="黑体" w:hAnsi="宋体"/>
          <w:b/>
          <w:szCs w:val="21"/>
        </w:rPr>
      </w:pPr>
      <w:r w:rsidRPr="00E33F80">
        <w:rPr>
          <w:rFonts w:ascii="黑体" w:eastAsia="黑体" w:hAnsi="宋体" w:hint="eastAsia"/>
          <w:b/>
          <w:szCs w:val="21"/>
        </w:rPr>
        <w:t>理财非存款、产品有风险、投资须谨慎。</w:t>
      </w:r>
    </w:p>
    <w:p w:rsidR="00D82251" w:rsidRPr="00E33F80" w:rsidRDefault="00D82251" w:rsidP="00D82251">
      <w:pPr>
        <w:pStyle w:val="a4"/>
        <w:tabs>
          <w:tab w:val="left" w:pos="720"/>
          <w:tab w:val="left" w:pos="5400"/>
        </w:tabs>
        <w:spacing w:after="0"/>
        <w:ind w:leftChars="0" w:left="0"/>
        <w:jc w:val="center"/>
        <w:rPr>
          <w:rFonts w:ascii="宋体" w:hAnsi="宋体"/>
          <w:b/>
          <w:sz w:val="30"/>
          <w:szCs w:val="30"/>
        </w:rPr>
      </w:pPr>
    </w:p>
    <w:p w:rsidR="00D82251" w:rsidRPr="00E33F80" w:rsidRDefault="00D82251" w:rsidP="00D82251">
      <w:pPr>
        <w:pStyle w:val="a4"/>
        <w:tabs>
          <w:tab w:val="left" w:pos="720"/>
        </w:tabs>
        <w:spacing w:before="100" w:beforeAutospacing="1" w:after="0"/>
        <w:ind w:leftChars="0" w:left="0"/>
        <w:rPr>
          <w:rFonts w:ascii="黑体" w:eastAsia="黑体" w:hAnsi="宋体"/>
          <w:szCs w:val="21"/>
        </w:rPr>
      </w:pPr>
      <w:r w:rsidRPr="00E33F80">
        <w:rPr>
          <w:rFonts w:ascii="黑体" w:eastAsia="黑体" w:hAnsi="宋体" w:hint="eastAsia"/>
          <w:szCs w:val="21"/>
        </w:rPr>
        <w:t>尊敬的客户：</w:t>
      </w:r>
    </w:p>
    <w:p w:rsidR="00D82251" w:rsidRPr="00E33F80" w:rsidRDefault="00D82251" w:rsidP="00D82251">
      <w:pPr>
        <w:pStyle w:val="a4"/>
        <w:tabs>
          <w:tab w:val="left" w:pos="720"/>
        </w:tabs>
        <w:spacing w:before="100" w:beforeAutospacing="1" w:after="0"/>
        <w:ind w:leftChars="0" w:left="0" w:firstLineChars="200" w:firstLine="400"/>
        <w:rPr>
          <w:rFonts w:ascii="黑体" w:eastAsia="黑体" w:hAnsi="宋体"/>
          <w:szCs w:val="21"/>
        </w:rPr>
      </w:pPr>
      <w:r w:rsidRPr="00E33F80">
        <w:rPr>
          <w:rFonts w:ascii="黑体" w:eastAsia="黑体" w:hAnsi="宋体" w:hint="eastAsia"/>
          <w:szCs w:val="21"/>
        </w:rPr>
        <w:t>理财产品存续期间将面临多种风险因素，根据中国银行业监督管理委员会相关监管规定的要求，中国建设银行郑重向您提示：</w:t>
      </w:r>
    </w:p>
    <w:p w:rsidR="00D82251" w:rsidRPr="00E33F80" w:rsidRDefault="00D82251" w:rsidP="00D82251">
      <w:pPr>
        <w:pStyle w:val="a4"/>
        <w:tabs>
          <w:tab w:val="left" w:pos="720"/>
        </w:tabs>
        <w:spacing w:before="100" w:beforeAutospacing="1" w:after="0"/>
        <w:ind w:leftChars="0" w:left="0" w:firstLineChars="200" w:firstLine="402"/>
        <w:rPr>
          <w:rFonts w:ascii="黑体" w:eastAsia="黑体" w:hAnsi="宋体"/>
          <w:szCs w:val="21"/>
        </w:rPr>
      </w:pPr>
      <w:r w:rsidRPr="00E33F80">
        <w:rPr>
          <w:rFonts w:ascii="黑体" w:eastAsia="黑体" w:hAnsi="宋体" w:hint="eastAsia"/>
          <w:b/>
          <w:szCs w:val="21"/>
        </w:rPr>
        <w:t>本期产品为保本浮动收益型理财产品。本理财产品有投资风险，只保障理财资金本金，不保证理财收益，您应当充分认识投资风险，谨慎投资。</w:t>
      </w:r>
      <w:r w:rsidRPr="00E33F80">
        <w:rPr>
          <w:rFonts w:ascii="黑体" w:eastAsia="黑体" w:hAnsi="宋体" w:hint="eastAsia"/>
          <w:szCs w:val="21"/>
        </w:rPr>
        <w:t>本期产品期限为</w:t>
      </w:r>
      <w:r w:rsidR="00556136">
        <w:rPr>
          <w:rFonts w:ascii="黑体" w:eastAsia="黑体" w:hAnsi="宋体" w:hint="eastAsia"/>
          <w:color w:val="0000FF"/>
          <w:szCs w:val="21"/>
        </w:rPr>
        <w:t>366</w:t>
      </w:r>
      <w:r w:rsidRPr="003F5848">
        <w:rPr>
          <w:rFonts w:ascii="黑体" w:eastAsia="黑体" w:hAnsi="宋体" w:hint="eastAsia"/>
          <w:color w:val="0000FF"/>
          <w:szCs w:val="21"/>
        </w:rPr>
        <w:t>天</w:t>
      </w:r>
      <w:r w:rsidRPr="00E33F80">
        <w:rPr>
          <w:rFonts w:ascii="黑体" w:eastAsia="黑体" w:hAnsi="宋体" w:hint="eastAsia"/>
          <w:szCs w:val="21"/>
        </w:rPr>
        <w:t>（中国建设银行有权对产品进行展期或提前终止）。本期产品内部风险评级级别为一盏警示灯</w:t>
      </w:r>
      <w:r w:rsidR="00724B04">
        <w:rPr>
          <w:rFonts w:ascii="黑体" w:eastAsia="黑体" w:hAnsi="宋体"/>
          <w:noProof/>
          <w:szCs w:val="21"/>
        </w:rPr>
        <w:drawing>
          <wp:inline distT="0" distB="0" distL="0" distR="0">
            <wp:extent cx="124460" cy="124460"/>
            <wp:effectExtent l="19050" t="0" r="889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srcRect/>
                    <a:stretch>
                      <a:fillRect/>
                    </a:stretch>
                  </pic:blipFill>
                  <pic:spPr bwMode="auto">
                    <a:xfrm>
                      <a:off x="0" y="0"/>
                      <a:ext cx="124460" cy="124460"/>
                    </a:xfrm>
                    <a:prstGeom prst="rect">
                      <a:avLst/>
                    </a:prstGeom>
                    <a:noFill/>
                    <a:ln w="9525">
                      <a:noFill/>
                      <a:miter lim="800000"/>
                      <a:headEnd/>
                      <a:tailEnd/>
                    </a:ln>
                  </pic:spPr>
                </pic:pic>
              </a:graphicData>
            </a:graphic>
          </wp:inline>
        </w:drawing>
      </w:r>
      <w:r w:rsidRPr="00E33F80">
        <w:rPr>
          <w:rFonts w:ascii="黑体" w:eastAsia="黑体" w:hAnsi="宋体" w:hint="eastAsia"/>
          <w:szCs w:val="21"/>
        </w:rPr>
        <w:t>，风险程度属于无风险或风险极低，适用于保守型、收益型、稳健型、进取型及积极进取型投资者。最不利情况下，客户只能收回投资本金，不能获得任何投资收益。</w:t>
      </w:r>
    </w:p>
    <w:p w:rsidR="00D82251" w:rsidRPr="00E33F80" w:rsidRDefault="00D82251" w:rsidP="00D82251">
      <w:pPr>
        <w:pStyle w:val="a4"/>
        <w:tabs>
          <w:tab w:val="left" w:pos="720"/>
        </w:tabs>
        <w:spacing w:before="100" w:beforeAutospacing="1" w:after="0"/>
        <w:ind w:leftChars="0" w:left="0" w:firstLineChars="200" w:firstLine="400"/>
        <w:rPr>
          <w:rFonts w:ascii="黑体" w:eastAsia="黑体" w:hAnsi="宋体"/>
          <w:szCs w:val="21"/>
        </w:rPr>
      </w:pPr>
      <w:r w:rsidRPr="00E33F80">
        <w:rPr>
          <w:rFonts w:ascii="黑体" w:eastAsia="黑体" w:hAnsi="宋体" w:hint="eastAsia"/>
          <w:szCs w:val="21"/>
        </w:rPr>
        <w:t>如影响您风险承受能力的因素发生变化，请及时完成风险承受能力评估。</w:t>
      </w:r>
    </w:p>
    <w:p w:rsidR="00D82251" w:rsidRPr="00E33F80" w:rsidRDefault="00D82251" w:rsidP="00D82251">
      <w:pPr>
        <w:pStyle w:val="a4"/>
        <w:tabs>
          <w:tab w:val="left" w:pos="720"/>
        </w:tabs>
        <w:spacing w:before="100" w:beforeAutospacing="1" w:after="0"/>
        <w:ind w:leftChars="0" w:left="0" w:firstLineChars="200" w:firstLine="400"/>
        <w:rPr>
          <w:rFonts w:ascii="黑体" w:eastAsia="黑体" w:hAnsi="宋体"/>
          <w:szCs w:val="21"/>
        </w:rPr>
      </w:pPr>
      <w:r w:rsidRPr="00E33F80">
        <w:rPr>
          <w:rFonts w:ascii="黑体" w:eastAsia="黑体" w:hAnsi="宋体" w:hint="eastAsia"/>
          <w:szCs w:val="21"/>
        </w:rPr>
        <w:t>中国建设银行内部风险评级说明如下：</w:t>
      </w:r>
    </w:p>
    <w:tbl>
      <w:tblPr>
        <w:tblW w:w="4900" w:type="pct"/>
        <w:jc w:val="center"/>
        <w:tblCellMar>
          <w:left w:w="0" w:type="dxa"/>
          <w:right w:w="0" w:type="dxa"/>
        </w:tblCellMar>
        <w:tblLook w:val="0000"/>
      </w:tblPr>
      <w:tblGrid>
        <w:gridCol w:w="971"/>
        <w:gridCol w:w="1818"/>
        <w:gridCol w:w="1422"/>
        <w:gridCol w:w="3948"/>
      </w:tblGrid>
      <w:tr w:rsidR="00D82251" w:rsidRPr="00E33F80">
        <w:trPr>
          <w:trHeight w:val="20"/>
          <w:jc w:val="center"/>
        </w:trPr>
        <w:tc>
          <w:tcPr>
            <w:tcW w:w="9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82251" w:rsidRPr="00E33F80" w:rsidRDefault="00D82251" w:rsidP="00835759">
            <w:pPr>
              <w:spacing w:before="100" w:beforeAutospacing="1"/>
              <w:jc w:val="center"/>
              <w:rPr>
                <w:rFonts w:ascii="黑体" w:eastAsia="黑体" w:hAnsi="宋体"/>
                <w:szCs w:val="21"/>
              </w:rPr>
            </w:pPr>
            <w:r w:rsidRPr="00E33F80">
              <w:rPr>
                <w:rFonts w:ascii="黑体" w:eastAsia="黑体" w:hAnsi="宋体" w:hint="eastAsia"/>
                <w:szCs w:val="21"/>
              </w:rPr>
              <w:t>风险标识</w:t>
            </w:r>
          </w:p>
        </w:tc>
        <w:tc>
          <w:tcPr>
            <w:tcW w:w="18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82251" w:rsidRPr="00E33F80" w:rsidRDefault="00D82251" w:rsidP="00835759">
            <w:pPr>
              <w:spacing w:before="100" w:beforeAutospacing="1"/>
              <w:jc w:val="center"/>
              <w:rPr>
                <w:rFonts w:ascii="黑体" w:eastAsia="黑体" w:hAnsi="宋体"/>
                <w:szCs w:val="21"/>
              </w:rPr>
            </w:pPr>
            <w:r w:rsidRPr="00E33F80">
              <w:rPr>
                <w:rFonts w:ascii="黑体" w:eastAsia="黑体" w:hAnsi="宋体" w:hint="eastAsia"/>
                <w:szCs w:val="21"/>
              </w:rPr>
              <w:t>风险水平</w:t>
            </w:r>
          </w:p>
        </w:tc>
        <w:tc>
          <w:tcPr>
            <w:tcW w:w="147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82251" w:rsidRPr="00E33F80" w:rsidRDefault="00D82251" w:rsidP="00835759">
            <w:pPr>
              <w:spacing w:before="100" w:beforeAutospacing="1"/>
              <w:jc w:val="center"/>
              <w:rPr>
                <w:rFonts w:ascii="黑体" w:eastAsia="黑体" w:hAnsi="宋体"/>
                <w:szCs w:val="21"/>
              </w:rPr>
            </w:pPr>
            <w:r w:rsidRPr="00E33F80">
              <w:rPr>
                <w:rFonts w:ascii="黑体" w:eastAsia="黑体" w:hAnsi="宋体" w:hint="eastAsia"/>
                <w:szCs w:val="21"/>
              </w:rPr>
              <w:t>评级说明</w:t>
            </w:r>
          </w:p>
        </w:tc>
        <w:tc>
          <w:tcPr>
            <w:tcW w:w="4102" w:type="dxa"/>
            <w:tcBorders>
              <w:top w:val="single" w:sz="4" w:space="0" w:color="auto"/>
              <w:left w:val="nil"/>
              <w:bottom w:val="single" w:sz="4" w:space="0" w:color="auto"/>
              <w:right w:val="single" w:sz="4" w:space="0" w:color="auto"/>
            </w:tcBorders>
            <w:vAlign w:val="center"/>
          </w:tcPr>
          <w:p w:rsidR="00D82251" w:rsidRPr="00E33F80" w:rsidRDefault="00D82251" w:rsidP="00835759">
            <w:pPr>
              <w:spacing w:before="100" w:beforeAutospacing="1"/>
              <w:jc w:val="center"/>
              <w:rPr>
                <w:rFonts w:ascii="黑体" w:eastAsia="黑体" w:hAnsi="宋体"/>
                <w:szCs w:val="21"/>
              </w:rPr>
            </w:pPr>
            <w:r w:rsidRPr="00E33F80">
              <w:rPr>
                <w:rFonts w:ascii="黑体" w:eastAsia="黑体" w:hAnsi="宋体" w:hint="eastAsia"/>
                <w:szCs w:val="21"/>
              </w:rPr>
              <w:t>适用群体</w:t>
            </w:r>
          </w:p>
        </w:tc>
      </w:tr>
      <w:tr w:rsidR="00D82251" w:rsidRPr="00E33F80">
        <w:trPr>
          <w:trHeight w:val="20"/>
          <w:jc w:val="center"/>
        </w:trPr>
        <w:tc>
          <w:tcPr>
            <w:tcW w:w="99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82251" w:rsidRPr="00E33F80" w:rsidRDefault="00724B04" w:rsidP="00835759">
            <w:pPr>
              <w:spacing w:before="100" w:beforeAutospacing="1"/>
              <w:jc w:val="center"/>
              <w:rPr>
                <w:rFonts w:ascii="黑体" w:eastAsia="黑体" w:hAnsi="宋体"/>
                <w:szCs w:val="21"/>
              </w:rPr>
            </w:pPr>
            <w:r>
              <w:rPr>
                <w:rFonts w:ascii="黑体" w:eastAsia="黑体" w:hAnsi="宋体"/>
                <w:noProof/>
                <w:szCs w:val="21"/>
              </w:rPr>
              <w:drawing>
                <wp:inline distT="0" distB="0" distL="0" distR="0">
                  <wp:extent cx="190500" cy="190500"/>
                  <wp:effectExtent l="1905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1887" w:type="dxa"/>
            <w:tcBorders>
              <w:top w:val="nil"/>
              <w:left w:val="nil"/>
              <w:bottom w:val="single" w:sz="4" w:space="0" w:color="auto"/>
              <w:right w:val="single" w:sz="4" w:space="0" w:color="auto"/>
            </w:tcBorders>
            <w:tcMar>
              <w:top w:w="15" w:type="dxa"/>
              <w:left w:w="15" w:type="dxa"/>
              <w:bottom w:w="0" w:type="dxa"/>
              <w:right w:w="15" w:type="dxa"/>
            </w:tcMar>
            <w:vAlign w:val="center"/>
          </w:tcPr>
          <w:p w:rsidR="00D82251" w:rsidRPr="00E33F80" w:rsidRDefault="00D82251" w:rsidP="00835759">
            <w:pPr>
              <w:spacing w:before="100" w:beforeAutospacing="1"/>
              <w:jc w:val="center"/>
              <w:rPr>
                <w:rFonts w:ascii="黑体" w:eastAsia="黑体" w:hAnsi="宋体"/>
                <w:szCs w:val="21"/>
              </w:rPr>
            </w:pPr>
            <w:r w:rsidRPr="00E33F80">
              <w:rPr>
                <w:rFonts w:ascii="黑体" w:eastAsia="黑体" w:hAnsi="宋体" w:hint="eastAsia"/>
                <w:szCs w:val="21"/>
              </w:rPr>
              <w:t>无风险或风险极低</w:t>
            </w:r>
          </w:p>
        </w:tc>
        <w:tc>
          <w:tcPr>
            <w:tcW w:w="1474" w:type="dxa"/>
            <w:tcBorders>
              <w:top w:val="nil"/>
              <w:left w:val="nil"/>
              <w:bottom w:val="single" w:sz="4" w:space="0" w:color="auto"/>
              <w:right w:val="single" w:sz="4" w:space="0" w:color="auto"/>
            </w:tcBorders>
            <w:tcMar>
              <w:top w:w="15" w:type="dxa"/>
              <w:left w:w="15" w:type="dxa"/>
              <w:bottom w:w="0" w:type="dxa"/>
              <w:right w:w="15" w:type="dxa"/>
            </w:tcMar>
            <w:vAlign w:val="center"/>
          </w:tcPr>
          <w:p w:rsidR="00D82251" w:rsidRPr="00E33F80" w:rsidRDefault="00D82251" w:rsidP="00835759">
            <w:pPr>
              <w:spacing w:before="100" w:beforeAutospacing="1"/>
              <w:jc w:val="center"/>
              <w:rPr>
                <w:rFonts w:ascii="黑体" w:eastAsia="黑体" w:hAnsi="宋体"/>
                <w:szCs w:val="21"/>
              </w:rPr>
            </w:pPr>
            <w:r w:rsidRPr="00E33F80">
              <w:rPr>
                <w:rFonts w:ascii="黑体" w:eastAsia="黑体" w:hAnsi="宋体" w:hint="eastAsia"/>
                <w:szCs w:val="21"/>
              </w:rPr>
              <w:t>提供本金保护</w:t>
            </w:r>
          </w:p>
        </w:tc>
        <w:tc>
          <w:tcPr>
            <w:tcW w:w="4102" w:type="dxa"/>
            <w:tcBorders>
              <w:top w:val="nil"/>
              <w:left w:val="nil"/>
              <w:bottom w:val="single" w:sz="4" w:space="0" w:color="auto"/>
              <w:right w:val="single" w:sz="4" w:space="0" w:color="auto"/>
            </w:tcBorders>
            <w:vAlign w:val="center"/>
          </w:tcPr>
          <w:p w:rsidR="00D82251" w:rsidRPr="00E33F80" w:rsidRDefault="00D82251" w:rsidP="00835759">
            <w:pPr>
              <w:spacing w:before="100" w:beforeAutospacing="1"/>
              <w:jc w:val="center"/>
              <w:rPr>
                <w:rFonts w:ascii="黑体" w:eastAsia="黑体" w:hAnsi="宋体"/>
                <w:szCs w:val="21"/>
              </w:rPr>
            </w:pPr>
            <w:r w:rsidRPr="00E33F80">
              <w:rPr>
                <w:rFonts w:ascii="黑体" w:eastAsia="黑体" w:hAnsi="宋体" w:hint="eastAsia"/>
                <w:szCs w:val="21"/>
              </w:rPr>
              <w:t>保守型、收益型、稳健型、进取型、积极进取型</w:t>
            </w:r>
          </w:p>
        </w:tc>
      </w:tr>
    </w:tbl>
    <w:p w:rsidR="00D82251" w:rsidRPr="00E33F80" w:rsidRDefault="00D82251" w:rsidP="00D82251">
      <w:pPr>
        <w:tabs>
          <w:tab w:val="num" w:pos="540"/>
        </w:tabs>
        <w:ind w:firstLineChars="200" w:firstLine="360"/>
        <w:rPr>
          <w:rFonts w:ascii="黑体" w:eastAsia="黑体" w:hAnsi="宋体"/>
          <w:sz w:val="18"/>
          <w:szCs w:val="18"/>
        </w:rPr>
      </w:pPr>
      <w:r w:rsidRPr="00E33F80">
        <w:rPr>
          <w:rFonts w:ascii="黑体" w:eastAsia="黑体" w:hAnsi="宋体" w:hint="eastAsia"/>
          <w:sz w:val="18"/>
          <w:szCs w:val="18"/>
        </w:rPr>
        <w:t>注：本风险评级为中国建设银行内部评级结果，该评级仅供参考，不具备法律效力。</w:t>
      </w:r>
    </w:p>
    <w:p w:rsidR="00D82251" w:rsidRPr="00E33F80" w:rsidRDefault="00D82251" w:rsidP="00D82251">
      <w:pPr>
        <w:pStyle w:val="a4"/>
        <w:tabs>
          <w:tab w:val="left" w:pos="720"/>
        </w:tabs>
        <w:spacing w:before="100" w:beforeAutospacing="1" w:after="0"/>
        <w:ind w:leftChars="0" w:left="0" w:firstLineChars="200" w:firstLine="400"/>
        <w:rPr>
          <w:rFonts w:ascii="黑体" w:eastAsia="黑体" w:hAnsi="宋体"/>
          <w:szCs w:val="21"/>
        </w:rPr>
      </w:pPr>
      <w:r w:rsidRPr="00E33F80">
        <w:rPr>
          <w:rFonts w:ascii="黑体" w:eastAsia="黑体" w:hAnsi="宋体" w:hint="eastAsia"/>
          <w:szCs w:val="21"/>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中国建设银行不承担下述风险：</w:t>
      </w:r>
    </w:p>
    <w:p w:rsidR="00D82251" w:rsidRPr="00E33F80" w:rsidRDefault="00D82251" w:rsidP="00D82251">
      <w:pPr>
        <w:spacing w:before="100" w:beforeAutospacing="1"/>
        <w:ind w:firstLineChars="200" w:firstLine="420"/>
        <w:rPr>
          <w:rFonts w:ascii="黑体" w:eastAsia="黑体"/>
          <w:bCs/>
          <w:iCs/>
          <w:szCs w:val="21"/>
        </w:rPr>
      </w:pPr>
      <w:r w:rsidRPr="00E33F80">
        <w:rPr>
          <w:rFonts w:ascii="黑体" w:eastAsia="黑体" w:hint="eastAsia"/>
          <w:bCs/>
          <w:iCs/>
          <w:szCs w:val="21"/>
        </w:rPr>
        <w:t>1.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D82251" w:rsidRPr="00E33F80" w:rsidRDefault="00D82251" w:rsidP="00D82251">
      <w:pPr>
        <w:spacing w:before="100" w:beforeAutospacing="1"/>
        <w:ind w:firstLineChars="200" w:firstLine="420"/>
        <w:rPr>
          <w:rFonts w:ascii="黑体" w:eastAsia="黑体"/>
          <w:bCs/>
          <w:iCs/>
          <w:szCs w:val="21"/>
        </w:rPr>
      </w:pPr>
      <w:r w:rsidRPr="00E33F80">
        <w:rPr>
          <w:rFonts w:ascii="黑体" w:eastAsia="黑体" w:hint="eastAsia"/>
          <w:bCs/>
          <w:iCs/>
          <w:szCs w:val="21"/>
        </w:rPr>
        <w:t>2.信用风险：本期产品的基础资产项下义务人可能出现违约情形，则客户可能面临收益波动、甚至收益为零的风险。</w:t>
      </w:r>
    </w:p>
    <w:p w:rsidR="00D82251" w:rsidRPr="00E33F80" w:rsidRDefault="00D82251" w:rsidP="00D82251">
      <w:pPr>
        <w:spacing w:before="100" w:beforeAutospacing="1"/>
        <w:ind w:firstLineChars="200" w:firstLine="420"/>
        <w:rPr>
          <w:rFonts w:ascii="黑体" w:eastAsia="黑体"/>
          <w:bCs/>
          <w:iCs/>
          <w:szCs w:val="21"/>
        </w:rPr>
      </w:pPr>
      <w:r w:rsidRPr="00E33F80">
        <w:rPr>
          <w:rFonts w:ascii="黑体" w:eastAsia="黑体" w:hint="eastAsia"/>
          <w:bCs/>
          <w:iCs/>
          <w:szCs w:val="21"/>
        </w:rPr>
        <w:t>3.流动性风险：本期产品存续期内，客户无提前终止权，可能导致客户需要资金时不能随时变现，并可能使客户丧失其他投资机会的风险。</w:t>
      </w:r>
    </w:p>
    <w:p w:rsidR="00D82251" w:rsidRPr="00E33F80" w:rsidRDefault="00D82251" w:rsidP="00D82251">
      <w:pPr>
        <w:spacing w:before="100" w:beforeAutospacing="1"/>
        <w:ind w:firstLineChars="200" w:firstLine="420"/>
        <w:rPr>
          <w:rFonts w:ascii="黑体" w:eastAsia="黑体"/>
          <w:bCs/>
          <w:iCs/>
          <w:szCs w:val="21"/>
        </w:rPr>
      </w:pPr>
      <w:r w:rsidRPr="00E33F80">
        <w:rPr>
          <w:rFonts w:ascii="黑体" w:eastAsia="黑体" w:hint="eastAsia"/>
          <w:bCs/>
          <w:iCs/>
          <w:szCs w:val="21"/>
        </w:rPr>
        <w:lastRenderedPageBreak/>
        <w:t>4.市场风险：本期产品的基础资产价值受未来市场的不确定影响可能出现波动，从而导致客户收益波动、收益为零的情况。</w:t>
      </w:r>
    </w:p>
    <w:p w:rsidR="00D82251" w:rsidRPr="00E33F80" w:rsidRDefault="00D82251" w:rsidP="00D82251">
      <w:pPr>
        <w:spacing w:before="100" w:beforeAutospacing="1"/>
        <w:ind w:firstLineChars="200" w:firstLine="420"/>
        <w:rPr>
          <w:rFonts w:ascii="黑体" w:eastAsia="黑体"/>
          <w:bCs/>
          <w:iCs/>
          <w:szCs w:val="21"/>
        </w:rPr>
      </w:pPr>
      <w:r w:rsidRPr="00E33F80">
        <w:rPr>
          <w:rFonts w:ascii="黑体" w:eastAsia="黑体" w:hint="eastAsia"/>
          <w:bCs/>
          <w:iCs/>
          <w:szCs w:val="21"/>
        </w:rPr>
        <w:t>5.管理风险：本期产品募集资金拟投资于国内银行间债券市场上流通的国债、央票、政策性金融债等公开评级在投资级以上的金融资产以及债券回购、同业存款等符合监管机构要求的其他投资工具。基础资产管理方受经验、技能、判断力、执行力等方面的限制，可能对产品的运作及管理造成一定影响，并因此影响客户收益。</w:t>
      </w:r>
    </w:p>
    <w:p w:rsidR="00D82251" w:rsidRPr="00E33F80" w:rsidRDefault="00D82251" w:rsidP="00D82251">
      <w:pPr>
        <w:spacing w:before="100" w:beforeAutospacing="1"/>
        <w:ind w:firstLineChars="200" w:firstLine="420"/>
        <w:rPr>
          <w:rFonts w:ascii="黑体" w:eastAsia="黑体"/>
          <w:bCs/>
          <w:iCs/>
          <w:szCs w:val="21"/>
        </w:rPr>
      </w:pPr>
      <w:r w:rsidRPr="00E33F80">
        <w:rPr>
          <w:rFonts w:ascii="黑体" w:eastAsia="黑体" w:hint="eastAsia"/>
          <w:bCs/>
          <w:iCs/>
          <w:szCs w:val="21"/>
        </w:rPr>
        <w:t>6.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理财产品管理人将可能在其认为需要时无法及时联系到客户，并可能会由此影响客户的投资决策，由此而产生的责任和风险由客户自行承担。</w:t>
      </w:r>
    </w:p>
    <w:p w:rsidR="00D82251" w:rsidRPr="00E33F80" w:rsidRDefault="00D82251" w:rsidP="00D82251">
      <w:pPr>
        <w:spacing w:before="100" w:beforeAutospacing="1"/>
        <w:ind w:firstLineChars="200" w:firstLine="420"/>
        <w:rPr>
          <w:rFonts w:ascii="黑体" w:eastAsia="黑体"/>
          <w:bCs/>
          <w:iCs/>
          <w:szCs w:val="21"/>
        </w:rPr>
      </w:pPr>
      <w:r w:rsidRPr="00E33F80">
        <w:rPr>
          <w:rFonts w:ascii="黑体" w:eastAsia="黑体" w:hint="eastAsia"/>
          <w:bCs/>
          <w:iCs/>
          <w:szCs w:val="21"/>
        </w:rPr>
        <w:t>7.利率及通货膨胀风险：在本期产品存续期限内，即使中国人民银行调整存款利率及/或贷款基准利率，本产品的预期收益率可能并不会随之予以调整。同时，本产品存在客户预期收益率及/或实际收益率可能低于通货膨胀率，从而导致客户实际收益率为负的风险。</w:t>
      </w:r>
    </w:p>
    <w:p w:rsidR="00D82251" w:rsidRPr="00E33F80" w:rsidRDefault="00D82251" w:rsidP="00D82251">
      <w:pPr>
        <w:spacing w:before="100" w:beforeAutospacing="1"/>
        <w:ind w:firstLineChars="200" w:firstLine="420"/>
        <w:rPr>
          <w:rFonts w:ascii="黑体" w:eastAsia="黑体"/>
          <w:bCs/>
          <w:iCs/>
          <w:szCs w:val="21"/>
        </w:rPr>
      </w:pPr>
      <w:r w:rsidRPr="00E33F80">
        <w:rPr>
          <w:rFonts w:ascii="黑体" w:eastAsia="黑体" w:hint="eastAsia"/>
          <w:bCs/>
          <w:iCs/>
          <w:szCs w:val="21"/>
        </w:rPr>
        <w:t>8.产品不成立风险：如本期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D82251" w:rsidRPr="00E33F80" w:rsidRDefault="00D82251" w:rsidP="00D82251">
      <w:pPr>
        <w:spacing w:before="100" w:beforeAutospacing="1"/>
        <w:ind w:firstLineChars="200" w:firstLine="420"/>
        <w:rPr>
          <w:rFonts w:ascii="黑体" w:eastAsia="黑体"/>
          <w:bCs/>
          <w:iCs/>
          <w:szCs w:val="21"/>
        </w:rPr>
      </w:pPr>
      <w:r w:rsidRPr="00E33F80">
        <w:rPr>
          <w:rFonts w:ascii="黑体" w:eastAsia="黑体" w:hint="eastAsia"/>
          <w:bCs/>
          <w:iCs/>
          <w:szCs w:val="21"/>
        </w:rPr>
        <w:t>9.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D82251" w:rsidRPr="00E33F80" w:rsidRDefault="00D82251" w:rsidP="00D82251">
      <w:pPr>
        <w:spacing w:before="100" w:beforeAutospacing="1"/>
        <w:ind w:firstLine="420"/>
        <w:rPr>
          <w:rFonts w:ascii="黑体" w:eastAsia="黑体" w:hAnsi="宋体"/>
          <w:szCs w:val="21"/>
        </w:rPr>
      </w:pPr>
      <w:r w:rsidRPr="00E33F80">
        <w:rPr>
          <w:rFonts w:ascii="黑体" w:eastAsia="黑体" w:hint="eastAsia"/>
          <w:bCs/>
          <w:iCs/>
          <w:szCs w:val="21"/>
        </w:rPr>
        <w:t>10．延期风险：如出现包括但不限于本产品项下对应的基础资产不能及时变现等情况，中国建设银行有权延长本产品期限，则投资面临产品期限延期、延期兑付或分次兑付、不能及时收到本金及预期收益的风险。</w:t>
      </w:r>
    </w:p>
    <w:p w:rsidR="00D82251" w:rsidRPr="00E33F80" w:rsidRDefault="00D82251" w:rsidP="00D82251">
      <w:pPr>
        <w:spacing w:before="100" w:beforeAutospacing="1"/>
        <w:ind w:firstLine="420"/>
        <w:rPr>
          <w:rFonts w:ascii="黑体" w:eastAsia="黑体" w:hAnsi="宋体"/>
          <w:szCs w:val="21"/>
        </w:rPr>
      </w:pPr>
      <w:r w:rsidRPr="00E33F80">
        <w:rPr>
          <w:rFonts w:ascii="黑体" w:eastAsia="黑体" w:hAnsi="宋体" w:hint="eastAsia"/>
          <w:szCs w:val="21"/>
        </w:rPr>
        <w:t>11.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D82251" w:rsidRPr="00E33F80" w:rsidRDefault="00D82251" w:rsidP="00D82251">
      <w:pPr>
        <w:spacing w:before="100" w:beforeAutospacing="1"/>
        <w:ind w:firstLineChars="200" w:firstLine="420"/>
        <w:rPr>
          <w:rFonts w:ascii="黑体" w:eastAsia="黑体"/>
          <w:bCs/>
          <w:iCs/>
          <w:szCs w:val="21"/>
        </w:rPr>
      </w:pPr>
      <w:r w:rsidRPr="00E33F80">
        <w:rPr>
          <w:rFonts w:ascii="黑体" w:eastAsia="黑体" w:hint="eastAsia"/>
          <w:bCs/>
          <w:iCs/>
          <w:szCs w:val="21"/>
        </w:rPr>
        <w:t>在您签署《中国建设银行股份有限公司理财产品客户协议书》前，应当仔细阅读客户权益须知、本风险揭示书及本产品的产品说明书的全部内容，同时向中国建设银行了解本产品的其他相关信息，并自己独立做出是否认</w:t>
      </w:r>
      <w:r w:rsidRPr="00E33F80">
        <w:rPr>
          <w:rFonts w:ascii="黑体" w:eastAsia="黑体" w:hAnsi="宋体" w:hint="eastAsia"/>
          <w:szCs w:val="21"/>
        </w:rPr>
        <w:t>（申）</w:t>
      </w:r>
      <w:r w:rsidRPr="00E33F80">
        <w:rPr>
          <w:rFonts w:ascii="黑体" w:eastAsia="黑体" w:hint="eastAsia"/>
          <w:bCs/>
          <w:iCs/>
          <w:szCs w:val="21"/>
        </w:rPr>
        <w:t>购本产品的决定。</w:t>
      </w:r>
    </w:p>
    <w:p w:rsidR="00D82251" w:rsidRPr="00E33F80" w:rsidRDefault="00D82251" w:rsidP="00D82251">
      <w:pPr>
        <w:spacing w:before="100" w:beforeAutospacing="1"/>
        <w:ind w:firstLineChars="200" w:firstLine="420"/>
        <w:rPr>
          <w:rFonts w:ascii="黑体" w:eastAsia="黑体"/>
          <w:bCs/>
          <w:iCs/>
          <w:szCs w:val="21"/>
        </w:rPr>
      </w:pPr>
      <w:r w:rsidRPr="00E33F80">
        <w:rPr>
          <w:rFonts w:ascii="黑体" w:eastAsia="黑体" w:hint="eastAsia"/>
          <w:bCs/>
          <w:iCs/>
          <w:szCs w:val="21"/>
        </w:rPr>
        <w:t>您签署本风险揭示书、客户协议书，并将资金委托给中国建设银行运作是您真实的意思表示。本风险揭示书及相应的客户协议书、产品说明书、客户权益须知将共同构成贵我双方理财合同的有效组成部分。</w:t>
      </w:r>
    </w:p>
    <w:p w:rsidR="00D82251" w:rsidRPr="00E33F80" w:rsidRDefault="00D82251" w:rsidP="00D82251">
      <w:pPr>
        <w:spacing w:before="100" w:beforeAutospacing="1"/>
        <w:ind w:firstLineChars="200" w:firstLine="420"/>
        <w:rPr>
          <w:rFonts w:ascii="黑体" w:eastAsia="黑体"/>
          <w:bCs/>
          <w:iCs/>
          <w:szCs w:val="21"/>
        </w:rPr>
      </w:pPr>
    </w:p>
    <w:p w:rsidR="00D82251" w:rsidRPr="00E33F80" w:rsidRDefault="00D82251" w:rsidP="00D82251">
      <w:pPr>
        <w:spacing w:before="100" w:beforeAutospacing="1"/>
        <w:ind w:firstLineChars="200" w:firstLine="422"/>
        <w:jc w:val="right"/>
        <w:rPr>
          <w:rFonts w:ascii="黑体" w:eastAsia="黑体"/>
          <w:b/>
          <w:bCs/>
          <w:iCs/>
          <w:szCs w:val="21"/>
        </w:rPr>
      </w:pPr>
      <w:r w:rsidRPr="00E33F80">
        <w:rPr>
          <w:rFonts w:ascii="黑体" w:eastAsia="黑体" w:hint="eastAsia"/>
          <w:b/>
          <w:bCs/>
          <w:iCs/>
          <w:szCs w:val="21"/>
        </w:rPr>
        <w:t>风险揭示方：中国建设银行</w:t>
      </w:r>
    </w:p>
    <w:p w:rsidR="00D82251" w:rsidRDefault="00D82251" w:rsidP="00D82251">
      <w:pPr>
        <w:spacing w:before="100" w:beforeAutospacing="1"/>
        <w:ind w:firstLineChars="200" w:firstLine="420"/>
        <w:rPr>
          <w:rFonts w:ascii="黑体" w:eastAsia="黑体"/>
          <w:bCs/>
          <w:iCs/>
          <w:szCs w:val="21"/>
        </w:rPr>
      </w:pPr>
      <w:r w:rsidRPr="00E33F80">
        <w:rPr>
          <w:rFonts w:ascii="黑体" w:eastAsia="黑体" w:hint="eastAsia"/>
          <w:bCs/>
          <w:iCs/>
          <w:szCs w:val="21"/>
        </w:rPr>
        <w:t>(客户签字与盖章见下一页)</w:t>
      </w:r>
    </w:p>
    <w:p w:rsidR="00D82251" w:rsidRPr="00E33F80" w:rsidRDefault="00D82251" w:rsidP="00D82251">
      <w:pPr>
        <w:pStyle w:val="a4"/>
        <w:tabs>
          <w:tab w:val="left" w:pos="720"/>
        </w:tabs>
        <w:spacing w:before="100" w:beforeAutospacing="1" w:after="0"/>
        <w:ind w:leftChars="0" w:left="0" w:right="400"/>
      </w:pPr>
      <w:r>
        <w:rPr>
          <w:kern w:val="2"/>
          <w:sz w:val="21"/>
          <w:szCs w:val="21"/>
        </w:rPr>
        <w:br w:type="page"/>
      </w:r>
      <w:r w:rsidRPr="00E33F80">
        <w:rPr>
          <w:rFonts w:hint="eastAsia"/>
        </w:rPr>
        <w:lastRenderedPageBreak/>
        <w:t>机构客户请在下面签章：</w:t>
      </w:r>
    </w:p>
    <w:p w:rsidR="00D82251" w:rsidRDefault="00145E1F" w:rsidP="00D82251">
      <w:pPr>
        <w:pStyle w:val="a4"/>
        <w:tabs>
          <w:tab w:val="left" w:pos="720"/>
        </w:tabs>
        <w:spacing w:before="100" w:beforeAutospacing="1" w:after="0"/>
        <w:ind w:leftChars="0" w:left="0"/>
        <w:rPr>
          <w:kern w:val="2"/>
          <w:sz w:val="21"/>
          <w:szCs w:val="21"/>
        </w:rPr>
      </w:pPr>
      <w:r>
        <w:rPr>
          <w:noProof/>
          <w:kern w:val="2"/>
          <w:sz w:val="21"/>
          <w:szCs w:val="21"/>
        </w:rPr>
        <w:pict>
          <v:rect id="_x0000_s1028" style="position:absolute;left:0;text-align:left;margin-left:-15.9pt;margin-top:8.05pt;width:442.5pt;height:202.65pt;z-index:-251658752"/>
        </w:pict>
      </w:r>
      <w:r w:rsidR="00D82251" w:rsidRPr="00E33F80">
        <w:rPr>
          <w:rFonts w:hint="eastAsia"/>
          <w:kern w:val="2"/>
          <w:sz w:val="21"/>
          <w:szCs w:val="21"/>
        </w:rPr>
        <w:t>客户声明：投资决策完全是由本单位独立、自主、谨慎做出的。本单位已经阅读客户权益须知、本期产品风险揭示书、本期产品说明书及客户协议书所有条款（包括背面），充分理解并自愿承担本产品相关风险。</w:t>
      </w:r>
    </w:p>
    <w:p w:rsidR="00470168" w:rsidRDefault="00470168" w:rsidP="00D82251">
      <w:pPr>
        <w:pStyle w:val="a4"/>
        <w:tabs>
          <w:tab w:val="left" w:pos="720"/>
        </w:tabs>
        <w:spacing w:before="100" w:beforeAutospacing="1" w:after="0"/>
        <w:ind w:leftChars="0" w:left="0"/>
        <w:rPr>
          <w:noProof/>
          <w:kern w:val="2"/>
          <w:sz w:val="21"/>
          <w:szCs w:val="21"/>
        </w:rPr>
      </w:pPr>
    </w:p>
    <w:p w:rsidR="00D82251" w:rsidRPr="00E33F80" w:rsidRDefault="00D82251" w:rsidP="00D82251">
      <w:pPr>
        <w:pStyle w:val="a4"/>
        <w:tabs>
          <w:tab w:val="left" w:pos="720"/>
        </w:tabs>
        <w:spacing w:before="100" w:beforeAutospacing="1" w:after="0"/>
        <w:ind w:leftChars="0" w:left="0"/>
        <w:rPr>
          <w:noProof/>
          <w:kern w:val="2"/>
          <w:sz w:val="21"/>
          <w:szCs w:val="21"/>
        </w:rPr>
      </w:pPr>
      <w:r w:rsidRPr="00E33F80">
        <w:rPr>
          <w:rFonts w:hint="eastAsia"/>
          <w:noProof/>
          <w:kern w:val="2"/>
          <w:sz w:val="21"/>
          <w:szCs w:val="21"/>
        </w:rPr>
        <w:t>机构客户盖章（公章或合同专用章）：</w:t>
      </w:r>
      <w:r w:rsidRPr="00E33F80">
        <w:rPr>
          <w:rFonts w:hint="eastAsia"/>
          <w:noProof/>
          <w:kern w:val="2"/>
          <w:sz w:val="21"/>
          <w:szCs w:val="21"/>
        </w:rPr>
        <w:t xml:space="preserve">_______________________________________________ </w:t>
      </w:r>
    </w:p>
    <w:p w:rsidR="00D82251" w:rsidRPr="00E33F80" w:rsidRDefault="00D82251" w:rsidP="00D82251">
      <w:pPr>
        <w:pStyle w:val="a4"/>
        <w:tabs>
          <w:tab w:val="left" w:pos="720"/>
        </w:tabs>
        <w:spacing w:before="100" w:beforeAutospacing="1" w:after="0"/>
        <w:ind w:leftChars="0" w:left="0"/>
        <w:rPr>
          <w:noProof/>
          <w:kern w:val="2"/>
          <w:sz w:val="21"/>
          <w:szCs w:val="21"/>
        </w:rPr>
      </w:pPr>
      <w:r w:rsidRPr="00E33F80">
        <w:rPr>
          <w:rFonts w:hint="eastAsia"/>
          <w:noProof/>
          <w:kern w:val="2"/>
          <w:sz w:val="21"/>
          <w:szCs w:val="21"/>
        </w:rPr>
        <w:t>法定代表人或授权代理人（签字或盖章）：</w:t>
      </w:r>
      <w:r w:rsidRPr="00E33F80">
        <w:rPr>
          <w:rFonts w:hint="eastAsia"/>
          <w:noProof/>
          <w:kern w:val="2"/>
          <w:sz w:val="21"/>
          <w:szCs w:val="21"/>
        </w:rPr>
        <w:t xml:space="preserve">___________________________________________ </w:t>
      </w:r>
    </w:p>
    <w:p w:rsidR="00D82251" w:rsidRPr="00E33F80" w:rsidRDefault="00D82251" w:rsidP="00D82251">
      <w:pPr>
        <w:pStyle w:val="a4"/>
        <w:tabs>
          <w:tab w:val="left" w:pos="720"/>
        </w:tabs>
        <w:spacing w:before="100" w:beforeAutospacing="1" w:after="0"/>
        <w:ind w:leftChars="0" w:left="0"/>
        <w:rPr>
          <w:noProof/>
          <w:kern w:val="2"/>
          <w:sz w:val="21"/>
          <w:szCs w:val="21"/>
        </w:rPr>
      </w:pPr>
    </w:p>
    <w:p w:rsidR="00D82251" w:rsidRPr="00E33F80" w:rsidRDefault="00D82251" w:rsidP="00D82251">
      <w:pPr>
        <w:pStyle w:val="a4"/>
        <w:tabs>
          <w:tab w:val="left" w:pos="720"/>
        </w:tabs>
        <w:spacing w:before="100" w:beforeAutospacing="1" w:after="0"/>
        <w:ind w:leftChars="0" w:left="0"/>
        <w:jc w:val="right"/>
        <w:rPr>
          <w:kern w:val="2"/>
          <w:sz w:val="21"/>
          <w:szCs w:val="21"/>
        </w:rPr>
      </w:pPr>
      <w:r w:rsidRPr="00E33F80">
        <w:rPr>
          <w:rFonts w:hint="eastAsia"/>
          <w:noProof/>
          <w:kern w:val="2"/>
          <w:sz w:val="21"/>
          <w:szCs w:val="21"/>
        </w:rPr>
        <w:t xml:space="preserve"> </w:t>
      </w:r>
      <w:r w:rsidRPr="00E33F80">
        <w:rPr>
          <w:rFonts w:hint="eastAsia"/>
          <w:noProof/>
          <w:kern w:val="2"/>
          <w:sz w:val="21"/>
          <w:szCs w:val="21"/>
        </w:rPr>
        <w:t>年</w:t>
      </w:r>
      <w:r w:rsidRPr="00E33F80">
        <w:rPr>
          <w:rFonts w:hint="eastAsia"/>
          <w:noProof/>
          <w:kern w:val="2"/>
          <w:sz w:val="21"/>
          <w:szCs w:val="21"/>
        </w:rPr>
        <w:t xml:space="preserve">      </w:t>
      </w:r>
      <w:r w:rsidRPr="00E33F80">
        <w:rPr>
          <w:rFonts w:hint="eastAsia"/>
          <w:noProof/>
          <w:kern w:val="2"/>
          <w:sz w:val="21"/>
          <w:szCs w:val="21"/>
        </w:rPr>
        <w:t>月</w:t>
      </w:r>
      <w:r w:rsidRPr="00E33F80">
        <w:rPr>
          <w:rFonts w:hint="eastAsia"/>
          <w:noProof/>
          <w:kern w:val="2"/>
          <w:sz w:val="21"/>
          <w:szCs w:val="21"/>
        </w:rPr>
        <w:t xml:space="preserve">      </w:t>
      </w:r>
      <w:r w:rsidRPr="00E33F80">
        <w:rPr>
          <w:rFonts w:hint="eastAsia"/>
          <w:noProof/>
          <w:kern w:val="2"/>
          <w:sz w:val="21"/>
          <w:szCs w:val="21"/>
        </w:rPr>
        <w:t>日</w:t>
      </w:r>
      <w:r w:rsidRPr="00E33F80">
        <w:rPr>
          <w:rFonts w:hint="eastAsia"/>
          <w:kern w:val="2"/>
          <w:sz w:val="21"/>
          <w:szCs w:val="21"/>
        </w:rPr>
        <w:t xml:space="preserve">  </w:t>
      </w:r>
    </w:p>
    <w:p w:rsidR="00D82251" w:rsidRPr="00E33F80" w:rsidRDefault="00D82251" w:rsidP="00D82251">
      <w:pPr>
        <w:pStyle w:val="a4"/>
        <w:tabs>
          <w:tab w:val="left" w:pos="720"/>
        </w:tabs>
        <w:spacing w:before="100" w:beforeAutospacing="1" w:after="0"/>
        <w:ind w:leftChars="0" w:left="0"/>
        <w:jc w:val="right"/>
        <w:rPr>
          <w:kern w:val="2"/>
          <w:sz w:val="21"/>
          <w:szCs w:val="21"/>
        </w:rPr>
      </w:pPr>
      <w:r w:rsidRPr="00E33F80">
        <w:rPr>
          <w:rFonts w:hint="eastAsia"/>
          <w:kern w:val="2"/>
          <w:sz w:val="21"/>
          <w:szCs w:val="21"/>
        </w:rPr>
        <w:t xml:space="preserve">  </w:t>
      </w:r>
      <w:r w:rsidRPr="00E33F80">
        <w:rPr>
          <w:rFonts w:hint="eastAsia"/>
          <w:kern w:val="2"/>
          <w:sz w:val="21"/>
          <w:szCs w:val="21"/>
        </w:rPr>
        <w:t>（加盖销售网点公章）</w:t>
      </w:r>
    </w:p>
    <w:p w:rsidR="00D82251" w:rsidRPr="00E33F80" w:rsidRDefault="00D82251" w:rsidP="00D82251"/>
    <w:p w:rsidR="00BB1CBA" w:rsidRPr="00A472C4" w:rsidRDefault="00BB1CBA" w:rsidP="00885BBE"/>
    <w:sectPr w:rsidR="00BB1CBA" w:rsidRPr="00A472C4" w:rsidSect="00C24BED">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298" w:rsidRDefault="00F30298">
      <w:r>
        <w:separator/>
      </w:r>
    </w:p>
  </w:endnote>
  <w:endnote w:type="continuationSeparator" w:id="1">
    <w:p w:rsidR="00F30298" w:rsidRDefault="00F302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38C" w:rsidRDefault="00145E1F" w:rsidP="0098638C">
    <w:pPr>
      <w:pStyle w:val="a3"/>
      <w:framePr w:wrap="around" w:vAnchor="text" w:hAnchor="margin" w:xAlign="center" w:y="1"/>
      <w:rPr>
        <w:rStyle w:val="a5"/>
      </w:rPr>
    </w:pPr>
    <w:r>
      <w:rPr>
        <w:rStyle w:val="a5"/>
      </w:rPr>
      <w:fldChar w:fldCharType="begin"/>
    </w:r>
    <w:r w:rsidR="0098638C">
      <w:rPr>
        <w:rStyle w:val="a5"/>
      </w:rPr>
      <w:instrText xml:space="preserve">PAGE  </w:instrText>
    </w:r>
    <w:r>
      <w:rPr>
        <w:rStyle w:val="a5"/>
      </w:rPr>
      <w:fldChar w:fldCharType="end"/>
    </w:r>
  </w:p>
  <w:p w:rsidR="0098638C" w:rsidRDefault="0098638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38C" w:rsidRDefault="00145E1F" w:rsidP="0098638C">
    <w:pPr>
      <w:pStyle w:val="a3"/>
      <w:framePr w:wrap="around" w:vAnchor="text" w:hAnchor="margin" w:xAlign="center" w:y="1"/>
      <w:rPr>
        <w:rStyle w:val="a5"/>
      </w:rPr>
    </w:pPr>
    <w:r>
      <w:rPr>
        <w:rStyle w:val="a5"/>
      </w:rPr>
      <w:fldChar w:fldCharType="begin"/>
    </w:r>
    <w:r w:rsidR="0098638C">
      <w:rPr>
        <w:rStyle w:val="a5"/>
      </w:rPr>
      <w:instrText xml:space="preserve">PAGE  </w:instrText>
    </w:r>
    <w:r>
      <w:rPr>
        <w:rStyle w:val="a5"/>
      </w:rPr>
      <w:fldChar w:fldCharType="separate"/>
    </w:r>
    <w:r w:rsidR="007D7B50">
      <w:rPr>
        <w:rStyle w:val="a5"/>
        <w:noProof/>
      </w:rPr>
      <w:t>4</w:t>
    </w:r>
    <w:r>
      <w:rPr>
        <w:rStyle w:val="a5"/>
      </w:rPr>
      <w:fldChar w:fldCharType="end"/>
    </w:r>
  </w:p>
  <w:p w:rsidR="0098638C" w:rsidRDefault="0098638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298" w:rsidRDefault="00F30298">
      <w:r>
        <w:separator/>
      </w:r>
    </w:p>
  </w:footnote>
  <w:footnote w:type="continuationSeparator" w:id="1">
    <w:p w:rsidR="00F30298" w:rsidRDefault="00F302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638C"/>
    <w:rsid w:val="000004B3"/>
    <w:rsid w:val="00000C7E"/>
    <w:rsid w:val="00001A01"/>
    <w:rsid w:val="00002B3D"/>
    <w:rsid w:val="00003420"/>
    <w:rsid w:val="00004B9A"/>
    <w:rsid w:val="00004E8E"/>
    <w:rsid w:val="00005091"/>
    <w:rsid w:val="0000730D"/>
    <w:rsid w:val="00014611"/>
    <w:rsid w:val="000156EA"/>
    <w:rsid w:val="000171FE"/>
    <w:rsid w:val="00020AA0"/>
    <w:rsid w:val="00020FF9"/>
    <w:rsid w:val="00021E35"/>
    <w:rsid w:val="000223F4"/>
    <w:rsid w:val="00022790"/>
    <w:rsid w:val="00022BBA"/>
    <w:rsid w:val="00025070"/>
    <w:rsid w:val="00027448"/>
    <w:rsid w:val="000279B9"/>
    <w:rsid w:val="00030B32"/>
    <w:rsid w:val="0003105C"/>
    <w:rsid w:val="00031249"/>
    <w:rsid w:val="00031C25"/>
    <w:rsid w:val="000334AD"/>
    <w:rsid w:val="0003550A"/>
    <w:rsid w:val="00037837"/>
    <w:rsid w:val="00041DBD"/>
    <w:rsid w:val="000432E7"/>
    <w:rsid w:val="000436DF"/>
    <w:rsid w:val="00043BE7"/>
    <w:rsid w:val="000448CD"/>
    <w:rsid w:val="00045657"/>
    <w:rsid w:val="00045699"/>
    <w:rsid w:val="000457F5"/>
    <w:rsid w:val="00046539"/>
    <w:rsid w:val="00050227"/>
    <w:rsid w:val="00050EFB"/>
    <w:rsid w:val="00050F2A"/>
    <w:rsid w:val="000526EB"/>
    <w:rsid w:val="00052907"/>
    <w:rsid w:val="000536EB"/>
    <w:rsid w:val="000555A2"/>
    <w:rsid w:val="000569A2"/>
    <w:rsid w:val="000600AF"/>
    <w:rsid w:val="00061AEE"/>
    <w:rsid w:val="00062DCF"/>
    <w:rsid w:val="0006377D"/>
    <w:rsid w:val="00063F10"/>
    <w:rsid w:val="00065D39"/>
    <w:rsid w:val="0006746D"/>
    <w:rsid w:val="00067F90"/>
    <w:rsid w:val="00070AD6"/>
    <w:rsid w:val="00073CD6"/>
    <w:rsid w:val="00073CF6"/>
    <w:rsid w:val="00074B7C"/>
    <w:rsid w:val="0007557F"/>
    <w:rsid w:val="00075C58"/>
    <w:rsid w:val="00076250"/>
    <w:rsid w:val="000779C7"/>
    <w:rsid w:val="00081829"/>
    <w:rsid w:val="00081A56"/>
    <w:rsid w:val="00083A58"/>
    <w:rsid w:val="00083A5B"/>
    <w:rsid w:val="00087B49"/>
    <w:rsid w:val="00091ABC"/>
    <w:rsid w:val="00093BBA"/>
    <w:rsid w:val="00096CDE"/>
    <w:rsid w:val="000974D7"/>
    <w:rsid w:val="00097C22"/>
    <w:rsid w:val="000A0E99"/>
    <w:rsid w:val="000A119E"/>
    <w:rsid w:val="000A24C6"/>
    <w:rsid w:val="000A305D"/>
    <w:rsid w:val="000A65DE"/>
    <w:rsid w:val="000A7307"/>
    <w:rsid w:val="000B09B4"/>
    <w:rsid w:val="000B164C"/>
    <w:rsid w:val="000B1915"/>
    <w:rsid w:val="000B20BB"/>
    <w:rsid w:val="000B227E"/>
    <w:rsid w:val="000B62C1"/>
    <w:rsid w:val="000B780D"/>
    <w:rsid w:val="000C0100"/>
    <w:rsid w:val="000C06D7"/>
    <w:rsid w:val="000C1727"/>
    <w:rsid w:val="000C6FC9"/>
    <w:rsid w:val="000D04D0"/>
    <w:rsid w:val="000D48BA"/>
    <w:rsid w:val="000D496A"/>
    <w:rsid w:val="000D5C53"/>
    <w:rsid w:val="000D6FDF"/>
    <w:rsid w:val="000D75A5"/>
    <w:rsid w:val="000E0A01"/>
    <w:rsid w:val="000E2A1A"/>
    <w:rsid w:val="000E2AD7"/>
    <w:rsid w:val="000E49F0"/>
    <w:rsid w:val="000E5091"/>
    <w:rsid w:val="000E570C"/>
    <w:rsid w:val="000E6C4C"/>
    <w:rsid w:val="000E6DA1"/>
    <w:rsid w:val="000E7BC7"/>
    <w:rsid w:val="000F045C"/>
    <w:rsid w:val="000F1328"/>
    <w:rsid w:val="000F1BC3"/>
    <w:rsid w:val="000F3290"/>
    <w:rsid w:val="000F3A0B"/>
    <w:rsid w:val="000F5029"/>
    <w:rsid w:val="000F6C8B"/>
    <w:rsid w:val="00101873"/>
    <w:rsid w:val="00102C39"/>
    <w:rsid w:val="00103C0E"/>
    <w:rsid w:val="00103FFF"/>
    <w:rsid w:val="001049AD"/>
    <w:rsid w:val="00105447"/>
    <w:rsid w:val="001056BF"/>
    <w:rsid w:val="00106EF1"/>
    <w:rsid w:val="00107BC6"/>
    <w:rsid w:val="0011253F"/>
    <w:rsid w:val="00112B2D"/>
    <w:rsid w:val="00112EEB"/>
    <w:rsid w:val="00112F15"/>
    <w:rsid w:val="001130AC"/>
    <w:rsid w:val="001139DE"/>
    <w:rsid w:val="00113DA1"/>
    <w:rsid w:val="00114DC7"/>
    <w:rsid w:val="001242CE"/>
    <w:rsid w:val="00125991"/>
    <w:rsid w:val="0012677D"/>
    <w:rsid w:val="001322EA"/>
    <w:rsid w:val="001327E3"/>
    <w:rsid w:val="001341C3"/>
    <w:rsid w:val="0013460D"/>
    <w:rsid w:val="00135105"/>
    <w:rsid w:val="0013534F"/>
    <w:rsid w:val="00135479"/>
    <w:rsid w:val="00135750"/>
    <w:rsid w:val="00135BEB"/>
    <w:rsid w:val="00136407"/>
    <w:rsid w:val="00140ECB"/>
    <w:rsid w:val="001415B4"/>
    <w:rsid w:val="001425C1"/>
    <w:rsid w:val="00142F7E"/>
    <w:rsid w:val="0014492B"/>
    <w:rsid w:val="00145E1F"/>
    <w:rsid w:val="00150843"/>
    <w:rsid w:val="00151230"/>
    <w:rsid w:val="0015333F"/>
    <w:rsid w:val="00155C70"/>
    <w:rsid w:val="001566F4"/>
    <w:rsid w:val="00160D5A"/>
    <w:rsid w:val="001645A9"/>
    <w:rsid w:val="00164C0B"/>
    <w:rsid w:val="001665AD"/>
    <w:rsid w:val="00170441"/>
    <w:rsid w:val="00172A4F"/>
    <w:rsid w:val="00172C1D"/>
    <w:rsid w:val="0017527D"/>
    <w:rsid w:val="00175812"/>
    <w:rsid w:val="00177722"/>
    <w:rsid w:val="00181022"/>
    <w:rsid w:val="0018166A"/>
    <w:rsid w:val="00183DF4"/>
    <w:rsid w:val="00184834"/>
    <w:rsid w:val="001858E9"/>
    <w:rsid w:val="00185E33"/>
    <w:rsid w:val="001872B1"/>
    <w:rsid w:val="001879F5"/>
    <w:rsid w:val="00190FBF"/>
    <w:rsid w:val="001935D0"/>
    <w:rsid w:val="0019480A"/>
    <w:rsid w:val="00197829"/>
    <w:rsid w:val="001A02CF"/>
    <w:rsid w:val="001A1BAE"/>
    <w:rsid w:val="001A1EC2"/>
    <w:rsid w:val="001A20C0"/>
    <w:rsid w:val="001A3569"/>
    <w:rsid w:val="001A4641"/>
    <w:rsid w:val="001A5418"/>
    <w:rsid w:val="001A775D"/>
    <w:rsid w:val="001B11EE"/>
    <w:rsid w:val="001B6C2E"/>
    <w:rsid w:val="001B6C44"/>
    <w:rsid w:val="001B73CE"/>
    <w:rsid w:val="001B7BA5"/>
    <w:rsid w:val="001C01DF"/>
    <w:rsid w:val="001C1378"/>
    <w:rsid w:val="001C1CAE"/>
    <w:rsid w:val="001C276D"/>
    <w:rsid w:val="001C595B"/>
    <w:rsid w:val="001C5CD1"/>
    <w:rsid w:val="001C5EEE"/>
    <w:rsid w:val="001C7154"/>
    <w:rsid w:val="001D325A"/>
    <w:rsid w:val="001D35BE"/>
    <w:rsid w:val="001D621A"/>
    <w:rsid w:val="001D743E"/>
    <w:rsid w:val="001D7603"/>
    <w:rsid w:val="001E000B"/>
    <w:rsid w:val="001E351F"/>
    <w:rsid w:val="001E4235"/>
    <w:rsid w:val="001E58B2"/>
    <w:rsid w:val="001F0D43"/>
    <w:rsid w:val="001F1942"/>
    <w:rsid w:val="001F2E7A"/>
    <w:rsid w:val="001F3A1A"/>
    <w:rsid w:val="001F4310"/>
    <w:rsid w:val="001F493E"/>
    <w:rsid w:val="001F5099"/>
    <w:rsid w:val="001F5D63"/>
    <w:rsid w:val="001F779E"/>
    <w:rsid w:val="00202466"/>
    <w:rsid w:val="0020352F"/>
    <w:rsid w:val="002043E7"/>
    <w:rsid w:val="00204879"/>
    <w:rsid w:val="00205786"/>
    <w:rsid w:val="00206048"/>
    <w:rsid w:val="00206BBB"/>
    <w:rsid w:val="002070C2"/>
    <w:rsid w:val="00212480"/>
    <w:rsid w:val="002131DD"/>
    <w:rsid w:val="00213621"/>
    <w:rsid w:val="00213C16"/>
    <w:rsid w:val="0021530C"/>
    <w:rsid w:val="00215E60"/>
    <w:rsid w:val="00216A20"/>
    <w:rsid w:val="0022240F"/>
    <w:rsid w:val="0022328D"/>
    <w:rsid w:val="002237A9"/>
    <w:rsid w:val="00223CF2"/>
    <w:rsid w:val="002267D8"/>
    <w:rsid w:val="00231FB6"/>
    <w:rsid w:val="0023224B"/>
    <w:rsid w:val="00232979"/>
    <w:rsid w:val="00233077"/>
    <w:rsid w:val="00233D89"/>
    <w:rsid w:val="002341FD"/>
    <w:rsid w:val="00235CB2"/>
    <w:rsid w:val="002368D3"/>
    <w:rsid w:val="00237223"/>
    <w:rsid w:val="00237231"/>
    <w:rsid w:val="00237AC0"/>
    <w:rsid w:val="00241358"/>
    <w:rsid w:val="00241DDA"/>
    <w:rsid w:val="0024430F"/>
    <w:rsid w:val="002472A8"/>
    <w:rsid w:val="002472CE"/>
    <w:rsid w:val="00250105"/>
    <w:rsid w:val="0025113B"/>
    <w:rsid w:val="002519BB"/>
    <w:rsid w:val="00251DF9"/>
    <w:rsid w:val="002523C9"/>
    <w:rsid w:val="00254BDD"/>
    <w:rsid w:val="00255FD0"/>
    <w:rsid w:val="0026153D"/>
    <w:rsid w:val="00262CB4"/>
    <w:rsid w:val="002632F2"/>
    <w:rsid w:val="002642ED"/>
    <w:rsid w:val="002653E6"/>
    <w:rsid w:val="002660BA"/>
    <w:rsid w:val="00266B9D"/>
    <w:rsid w:val="002676D4"/>
    <w:rsid w:val="0027082B"/>
    <w:rsid w:val="002733D9"/>
    <w:rsid w:val="00273CF2"/>
    <w:rsid w:val="002750AF"/>
    <w:rsid w:val="0027631F"/>
    <w:rsid w:val="00276346"/>
    <w:rsid w:val="00276C73"/>
    <w:rsid w:val="002776AA"/>
    <w:rsid w:val="002808D8"/>
    <w:rsid w:val="0028096C"/>
    <w:rsid w:val="002836D0"/>
    <w:rsid w:val="00284744"/>
    <w:rsid w:val="00284F44"/>
    <w:rsid w:val="00285756"/>
    <w:rsid w:val="002862E4"/>
    <w:rsid w:val="0029165E"/>
    <w:rsid w:val="002916C7"/>
    <w:rsid w:val="00291B98"/>
    <w:rsid w:val="0029269D"/>
    <w:rsid w:val="00293671"/>
    <w:rsid w:val="002937CF"/>
    <w:rsid w:val="00293B63"/>
    <w:rsid w:val="00295903"/>
    <w:rsid w:val="00295EAB"/>
    <w:rsid w:val="002A092C"/>
    <w:rsid w:val="002A2FDC"/>
    <w:rsid w:val="002A3702"/>
    <w:rsid w:val="002A3DD9"/>
    <w:rsid w:val="002A4F30"/>
    <w:rsid w:val="002A5584"/>
    <w:rsid w:val="002A5749"/>
    <w:rsid w:val="002A5BC4"/>
    <w:rsid w:val="002A7772"/>
    <w:rsid w:val="002A7F5B"/>
    <w:rsid w:val="002B3AF7"/>
    <w:rsid w:val="002B3DC9"/>
    <w:rsid w:val="002B4204"/>
    <w:rsid w:val="002B5FC6"/>
    <w:rsid w:val="002C0649"/>
    <w:rsid w:val="002C407C"/>
    <w:rsid w:val="002C500E"/>
    <w:rsid w:val="002C511F"/>
    <w:rsid w:val="002C59BB"/>
    <w:rsid w:val="002D151B"/>
    <w:rsid w:val="002D1BB5"/>
    <w:rsid w:val="002D3068"/>
    <w:rsid w:val="002D3D9E"/>
    <w:rsid w:val="002D4EDC"/>
    <w:rsid w:val="002D5179"/>
    <w:rsid w:val="002D662B"/>
    <w:rsid w:val="002D7ACB"/>
    <w:rsid w:val="002E0127"/>
    <w:rsid w:val="002E1F4C"/>
    <w:rsid w:val="002E2D33"/>
    <w:rsid w:val="002E2D90"/>
    <w:rsid w:val="002E539D"/>
    <w:rsid w:val="002E5DA6"/>
    <w:rsid w:val="002E66E8"/>
    <w:rsid w:val="002F1C18"/>
    <w:rsid w:val="002F1F8C"/>
    <w:rsid w:val="002F2509"/>
    <w:rsid w:val="002F29DD"/>
    <w:rsid w:val="002F2AF5"/>
    <w:rsid w:val="002F2CF2"/>
    <w:rsid w:val="002F58C8"/>
    <w:rsid w:val="002F68BF"/>
    <w:rsid w:val="0030061E"/>
    <w:rsid w:val="0030183C"/>
    <w:rsid w:val="0030187E"/>
    <w:rsid w:val="003022CD"/>
    <w:rsid w:val="00303A43"/>
    <w:rsid w:val="0030494D"/>
    <w:rsid w:val="003050BE"/>
    <w:rsid w:val="00305B79"/>
    <w:rsid w:val="00306ABC"/>
    <w:rsid w:val="003073BC"/>
    <w:rsid w:val="00307467"/>
    <w:rsid w:val="003113C1"/>
    <w:rsid w:val="00312AD1"/>
    <w:rsid w:val="00312C9D"/>
    <w:rsid w:val="003141E4"/>
    <w:rsid w:val="00314F12"/>
    <w:rsid w:val="003152F1"/>
    <w:rsid w:val="00316192"/>
    <w:rsid w:val="0031722B"/>
    <w:rsid w:val="00322160"/>
    <w:rsid w:val="003229F0"/>
    <w:rsid w:val="00322E20"/>
    <w:rsid w:val="00322EFB"/>
    <w:rsid w:val="00323DEA"/>
    <w:rsid w:val="003244EA"/>
    <w:rsid w:val="003265EC"/>
    <w:rsid w:val="00326F5D"/>
    <w:rsid w:val="003274DF"/>
    <w:rsid w:val="00330221"/>
    <w:rsid w:val="00330E49"/>
    <w:rsid w:val="00331AFF"/>
    <w:rsid w:val="003327B0"/>
    <w:rsid w:val="0033317D"/>
    <w:rsid w:val="003343B7"/>
    <w:rsid w:val="003360E8"/>
    <w:rsid w:val="00336848"/>
    <w:rsid w:val="00336ACC"/>
    <w:rsid w:val="00342E0D"/>
    <w:rsid w:val="0034356C"/>
    <w:rsid w:val="00343F9E"/>
    <w:rsid w:val="00344B2B"/>
    <w:rsid w:val="00344E4F"/>
    <w:rsid w:val="00345555"/>
    <w:rsid w:val="00345AF4"/>
    <w:rsid w:val="00347B7C"/>
    <w:rsid w:val="00347E16"/>
    <w:rsid w:val="00351C77"/>
    <w:rsid w:val="00351D02"/>
    <w:rsid w:val="003525A3"/>
    <w:rsid w:val="00352C87"/>
    <w:rsid w:val="003572BC"/>
    <w:rsid w:val="00357832"/>
    <w:rsid w:val="00357978"/>
    <w:rsid w:val="00357EC8"/>
    <w:rsid w:val="0036008A"/>
    <w:rsid w:val="0036057B"/>
    <w:rsid w:val="00360EF3"/>
    <w:rsid w:val="0036119A"/>
    <w:rsid w:val="00361BAF"/>
    <w:rsid w:val="00366095"/>
    <w:rsid w:val="00366AE2"/>
    <w:rsid w:val="00370C91"/>
    <w:rsid w:val="00371B7E"/>
    <w:rsid w:val="00372483"/>
    <w:rsid w:val="00373402"/>
    <w:rsid w:val="00374199"/>
    <w:rsid w:val="00376D6D"/>
    <w:rsid w:val="00376DA4"/>
    <w:rsid w:val="0037767C"/>
    <w:rsid w:val="003806FC"/>
    <w:rsid w:val="0038071E"/>
    <w:rsid w:val="00380CE8"/>
    <w:rsid w:val="00381B1F"/>
    <w:rsid w:val="003822B6"/>
    <w:rsid w:val="0038442E"/>
    <w:rsid w:val="00385530"/>
    <w:rsid w:val="0038674A"/>
    <w:rsid w:val="003901C1"/>
    <w:rsid w:val="003905C2"/>
    <w:rsid w:val="00391E1B"/>
    <w:rsid w:val="003922D4"/>
    <w:rsid w:val="0039274A"/>
    <w:rsid w:val="00392F7D"/>
    <w:rsid w:val="00393089"/>
    <w:rsid w:val="003938F5"/>
    <w:rsid w:val="00393BF3"/>
    <w:rsid w:val="00396551"/>
    <w:rsid w:val="00397C60"/>
    <w:rsid w:val="003A01A3"/>
    <w:rsid w:val="003A1777"/>
    <w:rsid w:val="003A4A8D"/>
    <w:rsid w:val="003A513F"/>
    <w:rsid w:val="003A5DEF"/>
    <w:rsid w:val="003A6BCC"/>
    <w:rsid w:val="003A7DEE"/>
    <w:rsid w:val="003B14E5"/>
    <w:rsid w:val="003B32FB"/>
    <w:rsid w:val="003B3D88"/>
    <w:rsid w:val="003B482F"/>
    <w:rsid w:val="003B606C"/>
    <w:rsid w:val="003B7137"/>
    <w:rsid w:val="003B7F53"/>
    <w:rsid w:val="003C0A8E"/>
    <w:rsid w:val="003C21B4"/>
    <w:rsid w:val="003C22B6"/>
    <w:rsid w:val="003C5ABD"/>
    <w:rsid w:val="003C5F99"/>
    <w:rsid w:val="003C6307"/>
    <w:rsid w:val="003C64C5"/>
    <w:rsid w:val="003C6DE1"/>
    <w:rsid w:val="003C7BEE"/>
    <w:rsid w:val="003D10C7"/>
    <w:rsid w:val="003D14AB"/>
    <w:rsid w:val="003D2D44"/>
    <w:rsid w:val="003D3802"/>
    <w:rsid w:val="003D56BB"/>
    <w:rsid w:val="003D5F5B"/>
    <w:rsid w:val="003D7AAC"/>
    <w:rsid w:val="003D7CD0"/>
    <w:rsid w:val="003E1CC4"/>
    <w:rsid w:val="003E2134"/>
    <w:rsid w:val="003E3F40"/>
    <w:rsid w:val="003E3F6B"/>
    <w:rsid w:val="003E4BF1"/>
    <w:rsid w:val="003E5576"/>
    <w:rsid w:val="003E56A5"/>
    <w:rsid w:val="003E6318"/>
    <w:rsid w:val="003E6633"/>
    <w:rsid w:val="003E6BBD"/>
    <w:rsid w:val="003E6F45"/>
    <w:rsid w:val="003E75E3"/>
    <w:rsid w:val="003F002D"/>
    <w:rsid w:val="003F02B2"/>
    <w:rsid w:val="003F1D34"/>
    <w:rsid w:val="003F2054"/>
    <w:rsid w:val="003F539E"/>
    <w:rsid w:val="003F53ED"/>
    <w:rsid w:val="0040102D"/>
    <w:rsid w:val="004022C0"/>
    <w:rsid w:val="00402C12"/>
    <w:rsid w:val="00404EEB"/>
    <w:rsid w:val="0040510C"/>
    <w:rsid w:val="00405898"/>
    <w:rsid w:val="00406AFB"/>
    <w:rsid w:val="00407EDC"/>
    <w:rsid w:val="00412B44"/>
    <w:rsid w:val="00413E36"/>
    <w:rsid w:val="00415F78"/>
    <w:rsid w:val="004164AF"/>
    <w:rsid w:val="0041676D"/>
    <w:rsid w:val="00421CDC"/>
    <w:rsid w:val="004225CF"/>
    <w:rsid w:val="00423423"/>
    <w:rsid w:val="00423537"/>
    <w:rsid w:val="004239B1"/>
    <w:rsid w:val="004239E5"/>
    <w:rsid w:val="00423C92"/>
    <w:rsid w:val="00426E70"/>
    <w:rsid w:val="004310C2"/>
    <w:rsid w:val="004322DC"/>
    <w:rsid w:val="00432D78"/>
    <w:rsid w:val="00433C7F"/>
    <w:rsid w:val="004366F6"/>
    <w:rsid w:val="00436B34"/>
    <w:rsid w:val="0043757D"/>
    <w:rsid w:val="004379C6"/>
    <w:rsid w:val="00444B14"/>
    <w:rsid w:val="00444B94"/>
    <w:rsid w:val="0044578E"/>
    <w:rsid w:val="0045012B"/>
    <w:rsid w:val="00450D22"/>
    <w:rsid w:val="00451E15"/>
    <w:rsid w:val="00452C4D"/>
    <w:rsid w:val="00454AA8"/>
    <w:rsid w:val="004559B8"/>
    <w:rsid w:val="00456F4E"/>
    <w:rsid w:val="00460CF3"/>
    <w:rsid w:val="00460D37"/>
    <w:rsid w:val="004613C1"/>
    <w:rsid w:val="004616FC"/>
    <w:rsid w:val="004625E4"/>
    <w:rsid w:val="00464CC5"/>
    <w:rsid w:val="00464F7B"/>
    <w:rsid w:val="00464FE9"/>
    <w:rsid w:val="004658AE"/>
    <w:rsid w:val="0046643D"/>
    <w:rsid w:val="00470168"/>
    <w:rsid w:val="00470E80"/>
    <w:rsid w:val="00470F1A"/>
    <w:rsid w:val="00471326"/>
    <w:rsid w:val="00471DAD"/>
    <w:rsid w:val="00471EDA"/>
    <w:rsid w:val="0047254E"/>
    <w:rsid w:val="0047401B"/>
    <w:rsid w:val="004748BA"/>
    <w:rsid w:val="00475844"/>
    <w:rsid w:val="00475A11"/>
    <w:rsid w:val="00477AD9"/>
    <w:rsid w:val="0048031F"/>
    <w:rsid w:val="004806F8"/>
    <w:rsid w:val="00481167"/>
    <w:rsid w:val="00481678"/>
    <w:rsid w:val="004817A0"/>
    <w:rsid w:val="004818F6"/>
    <w:rsid w:val="00481A7B"/>
    <w:rsid w:val="00482A6D"/>
    <w:rsid w:val="0048473F"/>
    <w:rsid w:val="00484983"/>
    <w:rsid w:val="004853D5"/>
    <w:rsid w:val="0048554F"/>
    <w:rsid w:val="00485C0F"/>
    <w:rsid w:val="004874CA"/>
    <w:rsid w:val="004910BB"/>
    <w:rsid w:val="00491349"/>
    <w:rsid w:val="00491640"/>
    <w:rsid w:val="00492186"/>
    <w:rsid w:val="00492987"/>
    <w:rsid w:val="004933DA"/>
    <w:rsid w:val="00493814"/>
    <w:rsid w:val="00494A23"/>
    <w:rsid w:val="004956BD"/>
    <w:rsid w:val="00497D35"/>
    <w:rsid w:val="004A0013"/>
    <w:rsid w:val="004A0CB8"/>
    <w:rsid w:val="004A30E2"/>
    <w:rsid w:val="004A6EFE"/>
    <w:rsid w:val="004A7883"/>
    <w:rsid w:val="004B0C68"/>
    <w:rsid w:val="004B2D39"/>
    <w:rsid w:val="004B3139"/>
    <w:rsid w:val="004B3226"/>
    <w:rsid w:val="004B47E3"/>
    <w:rsid w:val="004B4886"/>
    <w:rsid w:val="004B63C5"/>
    <w:rsid w:val="004B6D9B"/>
    <w:rsid w:val="004B7396"/>
    <w:rsid w:val="004C15CD"/>
    <w:rsid w:val="004C3242"/>
    <w:rsid w:val="004C4446"/>
    <w:rsid w:val="004C4968"/>
    <w:rsid w:val="004C49E2"/>
    <w:rsid w:val="004C4AFB"/>
    <w:rsid w:val="004C5BFF"/>
    <w:rsid w:val="004C671C"/>
    <w:rsid w:val="004C7B0D"/>
    <w:rsid w:val="004C7D1A"/>
    <w:rsid w:val="004D06DD"/>
    <w:rsid w:val="004D16C0"/>
    <w:rsid w:val="004D4750"/>
    <w:rsid w:val="004D566F"/>
    <w:rsid w:val="004D6CF8"/>
    <w:rsid w:val="004E08BF"/>
    <w:rsid w:val="004E3053"/>
    <w:rsid w:val="004E32FA"/>
    <w:rsid w:val="004E37A1"/>
    <w:rsid w:val="004E4BED"/>
    <w:rsid w:val="004E54F5"/>
    <w:rsid w:val="004F0E38"/>
    <w:rsid w:val="004F1517"/>
    <w:rsid w:val="004F3268"/>
    <w:rsid w:val="004F3ABC"/>
    <w:rsid w:val="004F4107"/>
    <w:rsid w:val="004F4EF2"/>
    <w:rsid w:val="004F4FC1"/>
    <w:rsid w:val="004F6FDB"/>
    <w:rsid w:val="004F7409"/>
    <w:rsid w:val="005006E5"/>
    <w:rsid w:val="005009CC"/>
    <w:rsid w:val="005011EC"/>
    <w:rsid w:val="00503845"/>
    <w:rsid w:val="00504CBF"/>
    <w:rsid w:val="00504F6B"/>
    <w:rsid w:val="005076A9"/>
    <w:rsid w:val="005107C7"/>
    <w:rsid w:val="00511A27"/>
    <w:rsid w:val="00520703"/>
    <w:rsid w:val="00521553"/>
    <w:rsid w:val="00521D17"/>
    <w:rsid w:val="00523265"/>
    <w:rsid w:val="005233D9"/>
    <w:rsid w:val="0052449D"/>
    <w:rsid w:val="005249B1"/>
    <w:rsid w:val="005300F4"/>
    <w:rsid w:val="00530C4D"/>
    <w:rsid w:val="0053219B"/>
    <w:rsid w:val="0053624C"/>
    <w:rsid w:val="00540A2B"/>
    <w:rsid w:val="0054394F"/>
    <w:rsid w:val="005443FB"/>
    <w:rsid w:val="005506E8"/>
    <w:rsid w:val="0055075B"/>
    <w:rsid w:val="0055095B"/>
    <w:rsid w:val="00551756"/>
    <w:rsid w:val="005525C8"/>
    <w:rsid w:val="00552919"/>
    <w:rsid w:val="00554E89"/>
    <w:rsid w:val="00556136"/>
    <w:rsid w:val="00556E1F"/>
    <w:rsid w:val="00557482"/>
    <w:rsid w:val="0055775F"/>
    <w:rsid w:val="00557A05"/>
    <w:rsid w:val="00560C29"/>
    <w:rsid w:val="00561CD8"/>
    <w:rsid w:val="00562B1A"/>
    <w:rsid w:val="00564E91"/>
    <w:rsid w:val="00566115"/>
    <w:rsid w:val="00567A52"/>
    <w:rsid w:val="0057170B"/>
    <w:rsid w:val="00572312"/>
    <w:rsid w:val="00572E78"/>
    <w:rsid w:val="005734DF"/>
    <w:rsid w:val="00573522"/>
    <w:rsid w:val="00575B19"/>
    <w:rsid w:val="00576768"/>
    <w:rsid w:val="00576781"/>
    <w:rsid w:val="00576CA2"/>
    <w:rsid w:val="00580228"/>
    <w:rsid w:val="005818A4"/>
    <w:rsid w:val="00582B0B"/>
    <w:rsid w:val="005832EE"/>
    <w:rsid w:val="00584BD3"/>
    <w:rsid w:val="005857A5"/>
    <w:rsid w:val="00585956"/>
    <w:rsid w:val="005862A5"/>
    <w:rsid w:val="00587E12"/>
    <w:rsid w:val="00590792"/>
    <w:rsid w:val="00590DCD"/>
    <w:rsid w:val="005912D3"/>
    <w:rsid w:val="00592B91"/>
    <w:rsid w:val="005938E6"/>
    <w:rsid w:val="0059397A"/>
    <w:rsid w:val="00594CBE"/>
    <w:rsid w:val="005A0EE1"/>
    <w:rsid w:val="005A1A85"/>
    <w:rsid w:val="005A1BBA"/>
    <w:rsid w:val="005A2641"/>
    <w:rsid w:val="005A2AFD"/>
    <w:rsid w:val="005A2E93"/>
    <w:rsid w:val="005A48ED"/>
    <w:rsid w:val="005A793F"/>
    <w:rsid w:val="005A79B1"/>
    <w:rsid w:val="005A7E17"/>
    <w:rsid w:val="005B164C"/>
    <w:rsid w:val="005B229C"/>
    <w:rsid w:val="005B3652"/>
    <w:rsid w:val="005B4872"/>
    <w:rsid w:val="005C0380"/>
    <w:rsid w:val="005C066E"/>
    <w:rsid w:val="005C0C43"/>
    <w:rsid w:val="005C2FCB"/>
    <w:rsid w:val="005C3492"/>
    <w:rsid w:val="005C471A"/>
    <w:rsid w:val="005C5F0C"/>
    <w:rsid w:val="005C6274"/>
    <w:rsid w:val="005C641C"/>
    <w:rsid w:val="005C656F"/>
    <w:rsid w:val="005C7142"/>
    <w:rsid w:val="005C7964"/>
    <w:rsid w:val="005C7FC3"/>
    <w:rsid w:val="005D0C3A"/>
    <w:rsid w:val="005D20A6"/>
    <w:rsid w:val="005D2C1F"/>
    <w:rsid w:val="005D2D91"/>
    <w:rsid w:val="005D42B0"/>
    <w:rsid w:val="005D4DC2"/>
    <w:rsid w:val="005D5838"/>
    <w:rsid w:val="005D73D9"/>
    <w:rsid w:val="005E0276"/>
    <w:rsid w:val="005E3043"/>
    <w:rsid w:val="005E37A5"/>
    <w:rsid w:val="005E58AE"/>
    <w:rsid w:val="005E5CFF"/>
    <w:rsid w:val="005F3E14"/>
    <w:rsid w:val="005F3E67"/>
    <w:rsid w:val="005F4BD9"/>
    <w:rsid w:val="005F5B9F"/>
    <w:rsid w:val="005F6A88"/>
    <w:rsid w:val="006004FC"/>
    <w:rsid w:val="00601835"/>
    <w:rsid w:val="00604B70"/>
    <w:rsid w:val="006109A4"/>
    <w:rsid w:val="0061455E"/>
    <w:rsid w:val="00614965"/>
    <w:rsid w:val="00615982"/>
    <w:rsid w:val="006219AC"/>
    <w:rsid w:val="006220F5"/>
    <w:rsid w:val="0062301A"/>
    <w:rsid w:val="00623B3B"/>
    <w:rsid w:val="00623BB1"/>
    <w:rsid w:val="0062509F"/>
    <w:rsid w:val="00625B0B"/>
    <w:rsid w:val="006320D9"/>
    <w:rsid w:val="00632A3F"/>
    <w:rsid w:val="00635A3E"/>
    <w:rsid w:val="00637B02"/>
    <w:rsid w:val="00640DBA"/>
    <w:rsid w:val="00642A63"/>
    <w:rsid w:val="00643DCD"/>
    <w:rsid w:val="00644AB8"/>
    <w:rsid w:val="00644D3F"/>
    <w:rsid w:val="00644DDA"/>
    <w:rsid w:val="00647CF0"/>
    <w:rsid w:val="0065034B"/>
    <w:rsid w:val="00652349"/>
    <w:rsid w:val="00652BD5"/>
    <w:rsid w:val="006540A6"/>
    <w:rsid w:val="00654A3A"/>
    <w:rsid w:val="00655493"/>
    <w:rsid w:val="00655B55"/>
    <w:rsid w:val="00656272"/>
    <w:rsid w:val="00657198"/>
    <w:rsid w:val="00661136"/>
    <w:rsid w:val="0066233C"/>
    <w:rsid w:val="00662986"/>
    <w:rsid w:val="00662B43"/>
    <w:rsid w:val="006635DE"/>
    <w:rsid w:val="006635FC"/>
    <w:rsid w:val="0066419E"/>
    <w:rsid w:val="00667BA4"/>
    <w:rsid w:val="006719EA"/>
    <w:rsid w:val="006721C2"/>
    <w:rsid w:val="00673231"/>
    <w:rsid w:val="006735A9"/>
    <w:rsid w:val="00673BA0"/>
    <w:rsid w:val="00673ED9"/>
    <w:rsid w:val="00675287"/>
    <w:rsid w:val="00675DEA"/>
    <w:rsid w:val="00677CA4"/>
    <w:rsid w:val="00677CD3"/>
    <w:rsid w:val="006818D7"/>
    <w:rsid w:val="00684BF5"/>
    <w:rsid w:val="00685E21"/>
    <w:rsid w:val="00686D7C"/>
    <w:rsid w:val="00687219"/>
    <w:rsid w:val="00692813"/>
    <w:rsid w:val="00694224"/>
    <w:rsid w:val="00697688"/>
    <w:rsid w:val="006A1190"/>
    <w:rsid w:val="006A211A"/>
    <w:rsid w:val="006A2220"/>
    <w:rsid w:val="006A2399"/>
    <w:rsid w:val="006A2A1E"/>
    <w:rsid w:val="006A3FA8"/>
    <w:rsid w:val="006A42CE"/>
    <w:rsid w:val="006A4466"/>
    <w:rsid w:val="006B1FAF"/>
    <w:rsid w:val="006B46AF"/>
    <w:rsid w:val="006B5564"/>
    <w:rsid w:val="006B5CB5"/>
    <w:rsid w:val="006B609D"/>
    <w:rsid w:val="006B6696"/>
    <w:rsid w:val="006B6F62"/>
    <w:rsid w:val="006B7168"/>
    <w:rsid w:val="006B75A0"/>
    <w:rsid w:val="006B7F9B"/>
    <w:rsid w:val="006C0E5C"/>
    <w:rsid w:val="006C3AA6"/>
    <w:rsid w:val="006C4174"/>
    <w:rsid w:val="006C5B37"/>
    <w:rsid w:val="006C6016"/>
    <w:rsid w:val="006D01CB"/>
    <w:rsid w:val="006D09D5"/>
    <w:rsid w:val="006D0C77"/>
    <w:rsid w:val="006D26A8"/>
    <w:rsid w:val="006D2F51"/>
    <w:rsid w:val="006D3A91"/>
    <w:rsid w:val="006D453C"/>
    <w:rsid w:val="006D47AD"/>
    <w:rsid w:val="006D4E56"/>
    <w:rsid w:val="006D5A23"/>
    <w:rsid w:val="006D5DF6"/>
    <w:rsid w:val="006D7374"/>
    <w:rsid w:val="006E1835"/>
    <w:rsid w:val="006E266F"/>
    <w:rsid w:val="006E306A"/>
    <w:rsid w:val="006E36F6"/>
    <w:rsid w:val="006E3A99"/>
    <w:rsid w:val="006E59C4"/>
    <w:rsid w:val="006E75ED"/>
    <w:rsid w:val="006F0EAD"/>
    <w:rsid w:val="006F2951"/>
    <w:rsid w:val="006F313C"/>
    <w:rsid w:val="006F37A7"/>
    <w:rsid w:val="006F56EE"/>
    <w:rsid w:val="006F5BCD"/>
    <w:rsid w:val="006F70B7"/>
    <w:rsid w:val="006F7100"/>
    <w:rsid w:val="006F7A1A"/>
    <w:rsid w:val="0070004C"/>
    <w:rsid w:val="00700888"/>
    <w:rsid w:val="007009F9"/>
    <w:rsid w:val="0070169D"/>
    <w:rsid w:val="007021D3"/>
    <w:rsid w:val="0070387E"/>
    <w:rsid w:val="00705C2E"/>
    <w:rsid w:val="007069FA"/>
    <w:rsid w:val="00706CD3"/>
    <w:rsid w:val="00706ED3"/>
    <w:rsid w:val="0070792F"/>
    <w:rsid w:val="0071303A"/>
    <w:rsid w:val="00713456"/>
    <w:rsid w:val="0071492F"/>
    <w:rsid w:val="00714D93"/>
    <w:rsid w:val="0071549E"/>
    <w:rsid w:val="0071561B"/>
    <w:rsid w:val="00716380"/>
    <w:rsid w:val="00716EE5"/>
    <w:rsid w:val="007203B2"/>
    <w:rsid w:val="0072068F"/>
    <w:rsid w:val="007210EE"/>
    <w:rsid w:val="0072181F"/>
    <w:rsid w:val="00723B13"/>
    <w:rsid w:val="00723CA1"/>
    <w:rsid w:val="00724B04"/>
    <w:rsid w:val="00724B33"/>
    <w:rsid w:val="0072577F"/>
    <w:rsid w:val="00726248"/>
    <w:rsid w:val="00727FF1"/>
    <w:rsid w:val="00730076"/>
    <w:rsid w:val="00731B20"/>
    <w:rsid w:val="0073607B"/>
    <w:rsid w:val="0074056D"/>
    <w:rsid w:val="0074096D"/>
    <w:rsid w:val="00743501"/>
    <w:rsid w:val="007438AC"/>
    <w:rsid w:val="0074392F"/>
    <w:rsid w:val="00743D43"/>
    <w:rsid w:val="00745D5D"/>
    <w:rsid w:val="00745ED5"/>
    <w:rsid w:val="007477B3"/>
    <w:rsid w:val="00750D81"/>
    <w:rsid w:val="00751F33"/>
    <w:rsid w:val="00753494"/>
    <w:rsid w:val="00753AAD"/>
    <w:rsid w:val="0075670D"/>
    <w:rsid w:val="007577D0"/>
    <w:rsid w:val="00757ECA"/>
    <w:rsid w:val="00760FDF"/>
    <w:rsid w:val="00761135"/>
    <w:rsid w:val="00761E3F"/>
    <w:rsid w:val="00761FB3"/>
    <w:rsid w:val="007624AF"/>
    <w:rsid w:val="00763138"/>
    <w:rsid w:val="00763FFA"/>
    <w:rsid w:val="00766BDA"/>
    <w:rsid w:val="0076788A"/>
    <w:rsid w:val="00770BC7"/>
    <w:rsid w:val="00771C61"/>
    <w:rsid w:val="00771FC1"/>
    <w:rsid w:val="00774065"/>
    <w:rsid w:val="007804F8"/>
    <w:rsid w:val="00780994"/>
    <w:rsid w:val="007823F2"/>
    <w:rsid w:val="007835AE"/>
    <w:rsid w:val="007842C1"/>
    <w:rsid w:val="0078558A"/>
    <w:rsid w:val="007869A9"/>
    <w:rsid w:val="00786E5D"/>
    <w:rsid w:val="00787D90"/>
    <w:rsid w:val="00790F7D"/>
    <w:rsid w:val="00791449"/>
    <w:rsid w:val="0079490C"/>
    <w:rsid w:val="00794D28"/>
    <w:rsid w:val="00795F41"/>
    <w:rsid w:val="00796237"/>
    <w:rsid w:val="007975A8"/>
    <w:rsid w:val="007979FC"/>
    <w:rsid w:val="007A1846"/>
    <w:rsid w:val="007A1A95"/>
    <w:rsid w:val="007A2575"/>
    <w:rsid w:val="007A2EAD"/>
    <w:rsid w:val="007A3155"/>
    <w:rsid w:val="007A41B5"/>
    <w:rsid w:val="007A43BE"/>
    <w:rsid w:val="007A55AE"/>
    <w:rsid w:val="007A6364"/>
    <w:rsid w:val="007A7DA5"/>
    <w:rsid w:val="007B1664"/>
    <w:rsid w:val="007B2163"/>
    <w:rsid w:val="007B325D"/>
    <w:rsid w:val="007B3725"/>
    <w:rsid w:val="007B3D51"/>
    <w:rsid w:val="007B5DC1"/>
    <w:rsid w:val="007B6500"/>
    <w:rsid w:val="007B6981"/>
    <w:rsid w:val="007C0058"/>
    <w:rsid w:val="007C40D5"/>
    <w:rsid w:val="007C5A0F"/>
    <w:rsid w:val="007C6737"/>
    <w:rsid w:val="007C6ACE"/>
    <w:rsid w:val="007D0257"/>
    <w:rsid w:val="007D157A"/>
    <w:rsid w:val="007D2590"/>
    <w:rsid w:val="007D27D7"/>
    <w:rsid w:val="007D4089"/>
    <w:rsid w:val="007D6E0C"/>
    <w:rsid w:val="007D7029"/>
    <w:rsid w:val="007D7B50"/>
    <w:rsid w:val="007D7EF2"/>
    <w:rsid w:val="007E0867"/>
    <w:rsid w:val="007E197E"/>
    <w:rsid w:val="007E2C61"/>
    <w:rsid w:val="007E6540"/>
    <w:rsid w:val="007F02C6"/>
    <w:rsid w:val="007F2503"/>
    <w:rsid w:val="007F2660"/>
    <w:rsid w:val="007F40DE"/>
    <w:rsid w:val="007F5023"/>
    <w:rsid w:val="007F529D"/>
    <w:rsid w:val="007F54F7"/>
    <w:rsid w:val="00800023"/>
    <w:rsid w:val="00805615"/>
    <w:rsid w:val="00807092"/>
    <w:rsid w:val="00810282"/>
    <w:rsid w:val="00810555"/>
    <w:rsid w:val="00811661"/>
    <w:rsid w:val="00811F57"/>
    <w:rsid w:val="00820C67"/>
    <w:rsid w:val="00820E10"/>
    <w:rsid w:val="00821FFD"/>
    <w:rsid w:val="008277AF"/>
    <w:rsid w:val="00827AE1"/>
    <w:rsid w:val="00830387"/>
    <w:rsid w:val="00830591"/>
    <w:rsid w:val="0083062A"/>
    <w:rsid w:val="00830C4E"/>
    <w:rsid w:val="00830ED5"/>
    <w:rsid w:val="00832CAF"/>
    <w:rsid w:val="0083334F"/>
    <w:rsid w:val="00833607"/>
    <w:rsid w:val="0083443B"/>
    <w:rsid w:val="00835702"/>
    <w:rsid w:val="00835759"/>
    <w:rsid w:val="00835CB7"/>
    <w:rsid w:val="0083719C"/>
    <w:rsid w:val="00840667"/>
    <w:rsid w:val="0084191A"/>
    <w:rsid w:val="008419A5"/>
    <w:rsid w:val="0084390A"/>
    <w:rsid w:val="00843A22"/>
    <w:rsid w:val="00843D25"/>
    <w:rsid w:val="00845257"/>
    <w:rsid w:val="0084598C"/>
    <w:rsid w:val="00846C4B"/>
    <w:rsid w:val="008470E9"/>
    <w:rsid w:val="00847E3C"/>
    <w:rsid w:val="0085460B"/>
    <w:rsid w:val="00856137"/>
    <w:rsid w:val="0085681E"/>
    <w:rsid w:val="00857E96"/>
    <w:rsid w:val="008616CC"/>
    <w:rsid w:val="00861D15"/>
    <w:rsid w:val="008623EF"/>
    <w:rsid w:val="0086309D"/>
    <w:rsid w:val="00864676"/>
    <w:rsid w:val="00865929"/>
    <w:rsid w:val="00870435"/>
    <w:rsid w:val="008710CE"/>
    <w:rsid w:val="0087149A"/>
    <w:rsid w:val="00872BC6"/>
    <w:rsid w:val="00872F25"/>
    <w:rsid w:val="00872F5E"/>
    <w:rsid w:val="00873613"/>
    <w:rsid w:val="008743D2"/>
    <w:rsid w:val="008751CD"/>
    <w:rsid w:val="008757D8"/>
    <w:rsid w:val="008765B8"/>
    <w:rsid w:val="00880995"/>
    <w:rsid w:val="00880AFE"/>
    <w:rsid w:val="0088170D"/>
    <w:rsid w:val="0088204E"/>
    <w:rsid w:val="00882E46"/>
    <w:rsid w:val="00885BBE"/>
    <w:rsid w:val="008901E0"/>
    <w:rsid w:val="008909C4"/>
    <w:rsid w:val="0089140B"/>
    <w:rsid w:val="00892364"/>
    <w:rsid w:val="008923ED"/>
    <w:rsid w:val="00894479"/>
    <w:rsid w:val="0089464F"/>
    <w:rsid w:val="00895F48"/>
    <w:rsid w:val="008961D8"/>
    <w:rsid w:val="008A20E9"/>
    <w:rsid w:val="008A21C6"/>
    <w:rsid w:val="008A443D"/>
    <w:rsid w:val="008A5900"/>
    <w:rsid w:val="008A7219"/>
    <w:rsid w:val="008A7877"/>
    <w:rsid w:val="008B2045"/>
    <w:rsid w:val="008B2297"/>
    <w:rsid w:val="008B3B70"/>
    <w:rsid w:val="008B5965"/>
    <w:rsid w:val="008B5969"/>
    <w:rsid w:val="008B5D4D"/>
    <w:rsid w:val="008B645A"/>
    <w:rsid w:val="008C13A5"/>
    <w:rsid w:val="008C3BF2"/>
    <w:rsid w:val="008C3BFF"/>
    <w:rsid w:val="008C45ED"/>
    <w:rsid w:val="008C4CDD"/>
    <w:rsid w:val="008C539A"/>
    <w:rsid w:val="008C5BA7"/>
    <w:rsid w:val="008C5EB4"/>
    <w:rsid w:val="008C7367"/>
    <w:rsid w:val="008D05EA"/>
    <w:rsid w:val="008D0EFC"/>
    <w:rsid w:val="008D46FC"/>
    <w:rsid w:val="008D512E"/>
    <w:rsid w:val="008D5832"/>
    <w:rsid w:val="008E36DD"/>
    <w:rsid w:val="008E51BC"/>
    <w:rsid w:val="008E74E7"/>
    <w:rsid w:val="008F095D"/>
    <w:rsid w:val="008F11F4"/>
    <w:rsid w:val="008F3A5D"/>
    <w:rsid w:val="008F4683"/>
    <w:rsid w:val="008F47F1"/>
    <w:rsid w:val="008F5560"/>
    <w:rsid w:val="008F6719"/>
    <w:rsid w:val="0090009B"/>
    <w:rsid w:val="0090193B"/>
    <w:rsid w:val="00902226"/>
    <w:rsid w:val="00903531"/>
    <w:rsid w:val="00903D4E"/>
    <w:rsid w:val="009054D4"/>
    <w:rsid w:val="00907C23"/>
    <w:rsid w:val="00912007"/>
    <w:rsid w:val="009120C4"/>
    <w:rsid w:val="00912A07"/>
    <w:rsid w:val="009137C9"/>
    <w:rsid w:val="00913978"/>
    <w:rsid w:val="00914C07"/>
    <w:rsid w:val="009170E4"/>
    <w:rsid w:val="009204B0"/>
    <w:rsid w:val="00921983"/>
    <w:rsid w:val="0092227A"/>
    <w:rsid w:val="009227DF"/>
    <w:rsid w:val="0092415D"/>
    <w:rsid w:val="009252FB"/>
    <w:rsid w:val="009255AC"/>
    <w:rsid w:val="00925DAE"/>
    <w:rsid w:val="00926888"/>
    <w:rsid w:val="00926CE6"/>
    <w:rsid w:val="009272F3"/>
    <w:rsid w:val="00931236"/>
    <w:rsid w:val="00931CA9"/>
    <w:rsid w:val="009323BF"/>
    <w:rsid w:val="00932C28"/>
    <w:rsid w:val="0093419F"/>
    <w:rsid w:val="00935FAF"/>
    <w:rsid w:val="00936AEA"/>
    <w:rsid w:val="00936B7D"/>
    <w:rsid w:val="009400AD"/>
    <w:rsid w:val="00940617"/>
    <w:rsid w:val="00942091"/>
    <w:rsid w:val="0094466F"/>
    <w:rsid w:val="009446AE"/>
    <w:rsid w:val="00945075"/>
    <w:rsid w:val="009451A2"/>
    <w:rsid w:val="00945F65"/>
    <w:rsid w:val="0094616B"/>
    <w:rsid w:val="00946575"/>
    <w:rsid w:val="009467CA"/>
    <w:rsid w:val="0095016D"/>
    <w:rsid w:val="00951832"/>
    <w:rsid w:val="0095196F"/>
    <w:rsid w:val="00951B8A"/>
    <w:rsid w:val="00951E26"/>
    <w:rsid w:val="00951E52"/>
    <w:rsid w:val="009532FE"/>
    <w:rsid w:val="00954470"/>
    <w:rsid w:val="00955375"/>
    <w:rsid w:val="00961820"/>
    <w:rsid w:val="00961CC0"/>
    <w:rsid w:val="00962A7F"/>
    <w:rsid w:val="00963C2E"/>
    <w:rsid w:val="00965736"/>
    <w:rsid w:val="00970B23"/>
    <w:rsid w:val="009717F1"/>
    <w:rsid w:val="009724BB"/>
    <w:rsid w:val="009741A9"/>
    <w:rsid w:val="009743E1"/>
    <w:rsid w:val="0097631A"/>
    <w:rsid w:val="00977300"/>
    <w:rsid w:val="00977F63"/>
    <w:rsid w:val="00982F1C"/>
    <w:rsid w:val="00983D72"/>
    <w:rsid w:val="0098582C"/>
    <w:rsid w:val="00985B98"/>
    <w:rsid w:val="0098638C"/>
    <w:rsid w:val="00991562"/>
    <w:rsid w:val="0099176D"/>
    <w:rsid w:val="00992277"/>
    <w:rsid w:val="00994D92"/>
    <w:rsid w:val="00994DEF"/>
    <w:rsid w:val="0099628A"/>
    <w:rsid w:val="00997021"/>
    <w:rsid w:val="00997BED"/>
    <w:rsid w:val="00997D7E"/>
    <w:rsid w:val="009A0343"/>
    <w:rsid w:val="009A0619"/>
    <w:rsid w:val="009A0A5E"/>
    <w:rsid w:val="009A0B05"/>
    <w:rsid w:val="009A2821"/>
    <w:rsid w:val="009A5CDE"/>
    <w:rsid w:val="009B20EF"/>
    <w:rsid w:val="009B30D8"/>
    <w:rsid w:val="009B315A"/>
    <w:rsid w:val="009B4A52"/>
    <w:rsid w:val="009B4FC7"/>
    <w:rsid w:val="009B5BCA"/>
    <w:rsid w:val="009C3777"/>
    <w:rsid w:val="009C3E9F"/>
    <w:rsid w:val="009C5B39"/>
    <w:rsid w:val="009C5BEB"/>
    <w:rsid w:val="009C6E9E"/>
    <w:rsid w:val="009C7228"/>
    <w:rsid w:val="009D31DF"/>
    <w:rsid w:val="009D500D"/>
    <w:rsid w:val="009D5377"/>
    <w:rsid w:val="009D6E82"/>
    <w:rsid w:val="009E027D"/>
    <w:rsid w:val="009E06EF"/>
    <w:rsid w:val="009E1B01"/>
    <w:rsid w:val="009E1E3C"/>
    <w:rsid w:val="009E37D4"/>
    <w:rsid w:val="009E4152"/>
    <w:rsid w:val="009E416A"/>
    <w:rsid w:val="009E4999"/>
    <w:rsid w:val="009E5163"/>
    <w:rsid w:val="009E702D"/>
    <w:rsid w:val="009E7B24"/>
    <w:rsid w:val="009F5064"/>
    <w:rsid w:val="00A00CE4"/>
    <w:rsid w:val="00A01CD6"/>
    <w:rsid w:val="00A06310"/>
    <w:rsid w:val="00A06A0A"/>
    <w:rsid w:val="00A07125"/>
    <w:rsid w:val="00A076B2"/>
    <w:rsid w:val="00A13121"/>
    <w:rsid w:val="00A156B9"/>
    <w:rsid w:val="00A2293D"/>
    <w:rsid w:val="00A25FBD"/>
    <w:rsid w:val="00A25FD1"/>
    <w:rsid w:val="00A27437"/>
    <w:rsid w:val="00A27CFE"/>
    <w:rsid w:val="00A31659"/>
    <w:rsid w:val="00A31A66"/>
    <w:rsid w:val="00A3355A"/>
    <w:rsid w:val="00A33733"/>
    <w:rsid w:val="00A357EE"/>
    <w:rsid w:val="00A35B38"/>
    <w:rsid w:val="00A403C8"/>
    <w:rsid w:val="00A414D5"/>
    <w:rsid w:val="00A42E27"/>
    <w:rsid w:val="00A435A3"/>
    <w:rsid w:val="00A4609F"/>
    <w:rsid w:val="00A469F9"/>
    <w:rsid w:val="00A472C4"/>
    <w:rsid w:val="00A50679"/>
    <w:rsid w:val="00A510D3"/>
    <w:rsid w:val="00A52982"/>
    <w:rsid w:val="00A53468"/>
    <w:rsid w:val="00A5374C"/>
    <w:rsid w:val="00A53A10"/>
    <w:rsid w:val="00A53F51"/>
    <w:rsid w:val="00A54471"/>
    <w:rsid w:val="00A57941"/>
    <w:rsid w:val="00A60FFD"/>
    <w:rsid w:val="00A61B9B"/>
    <w:rsid w:val="00A63245"/>
    <w:rsid w:val="00A63E91"/>
    <w:rsid w:val="00A643FD"/>
    <w:rsid w:val="00A645E9"/>
    <w:rsid w:val="00A64B77"/>
    <w:rsid w:val="00A67663"/>
    <w:rsid w:val="00A678A3"/>
    <w:rsid w:val="00A67F08"/>
    <w:rsid w:val="00A702F7"/>
    <w:rsid w:val="00A7253B"/>
    <w:rsid w:val="00A73B94"/>
    <w:rsid w:val="00A811DD"/>
    <w:rsid w:val="00A82987"/>
    <w:rsid w:val="00A83939"/>
    <w:rsid w:val="00A85170"/>
    <w:rsid w:val="00A85B53"/>
    <w:rsid w:val="00A8636D"/>
    <w:rsid w:val="00A86624"/>
    <w:rsid w:val="00A86A57"/>
    <w:rsid w:val="00A87477"/>
    <w:rsid w:val="00A9040C"/>
    <w:rsid w:val="00A93193"/>
    <w:rsid w:val="00A93F56"/>
    <w:rsid w:val="00AA02C1"/>
    <w:rsid w:val="00AA2FB4"/>
    <w:rsid w:val="00AA39B9"/>
    <w:rsid w:val="00AA4776"/>
    <w:rsid w:val="00AA4FEC"/>
    <w:rsid w:val="00AA525A"/>
    <w:rsid w:val="00AA792C"/>
    <w:rsid w:val="00AB03B3"/>
    <w:rsid w:val="00AB3B44"/>
    <w:rsid w:val="00AB4C5E"/>
    <w:rsid w:val="00AB51BE"/>
    <w:rsid w:val="00AB71A4"/>
    <w:rsid w:val="00AC060A"/>
    <w:rsid w:val="00AC1F6E"/>
    <w:rsid w:val="00AC37CD"/>
    <w:rsid w:val="00AC3C46"/>
    <w:rsid w:val="00AC49F3"/>
    <w:rsid w:val="00AC54F7"/>
    <w:rsid w:val="00AD0D9E"/>
    <w:rsid w:val="00AD1883"/>
    <w:rsid w:val="00AD2A84"/>
    <w:rsid w:val="00AD32DF"/>
    <w:rsid w:val="00AD5D32"/>
    <w:rsid w:val="00AD6DCC"/>
    <w:rsid w:val="00AE03E1"/>
    <w:rsid w:val="00AE1E2F"/>
    <w:rsid w:val="00AE2566"/>
    <w:rsid w:val="00AE31BA"/>
    <w:rsid w:val="00AE3E90"/>
    <w:rsid w:val="00AE4927"/>
    <w:rsid w:val="00AE73BB"/>
    <w:rsid w:val="00AE7DDA"/>
    <w:rsid w:val="00AF1252"/>
    <w:rsid w:val="00AF218D"/>
    <w:rsid w:val="00AF2BA8"/>
    <w:rsid w:val="00AF2FE3"/>
    <w:rsid w:val="00AF4841"/>
    <w:rsid w:val="00AF6ACD"/>
    <w:rsid w:val="00AF6CC0"/>
    <w:rsid w:val="00B00640"/>
    <w:rsid w:val="00B01263"/>
    <w:rsid w:val="00B0138A"/>
    <w:rsid w:val="00B01431"/>
    <w:rsid w:val="00B02D32"/>
    <w:rsid w:val="00B03375"/>
    <w:rsid w:val="00B04C71"/>
    <w:rsid w:val="00B05530"/>
    <w:rsid w:val="00B0672E"/>
    <w:rsid w:val="00B114A0"/>
    <w:rsid w:val="00B11612"/>
    <w:rsid w:val="00B134C2"/>
    <w:rsid w:val="00B1399B"/>
    <w:rsid w:val="00B15D03"/>
    <w:rsid w:val="00B16B0A"/>
    <w:rsid w:val="00B17174"/>
    <w:rsid w:val="00B175D1"/>
    <w:rsid w:val="00B202CC"/>
    <w:rsid w:val="00B2101C"/>
    <w:rsid w:val="00B2164A"/>
    <w:rsid w:val="00B21E05"/>
    <w:rsid w:val="00B23538"/>
    <w:rsid w:val="00B26BB5"/>
    <w:rsid w:val="00B26D7F"/>
    <w:rsid w:val="00B30DF1"/>
    <w:rsid w:val="00B3144A"/>
    <w:rsid w:val="00B33EC2"/>
    <w:rsid w:val="00B34F0E"/>
    <w:rsid w:val="00B353EC"/>
    <w:rsid w:val="00B3577B"/>
    <w:rsid w:val="00B365BE"/>
    <w:rsid w:val="00B36B04"/>
    <w:rsid w:val="00B3702A"/>
    <w:rsid w:val="00B37442"/>
    <w:rsid w:val="00B406F3"/>
    <w:rsid w:val="00B42991"/>
    <w:rsid w:val="00B45031"/>
    <w:rsid w:val="00B45A61"/>
    <w:rsid w:val="00B46904"/>
    <w:rsid w:val="00B506CE"/>
    <w:rsid w:val="00B5242F"/>
    <w:rsid w:val="00B53BF5"/>
    <w:rsid w:val="00B54A25"/>
    <w:rsid w:val="00B54F29"/>
    <w:rsid w:val="00B5588C"/>
    <w:rsid w:val="00B570E5"/>
    <w:rsid w:val="00B57AA4"/>
    <w:rsid w:val="00B6019A"/>
    <w:rsid w:val="00B60F06"/>
    <w:rsid w:val="00B61845"/>
    <w:rsid w:val="00B634B0"/>
    <w:rsid w:val="00B63D58"/>
    <w:rsid w:val="00B6483E"/>
    <w:rsid w:val="00B64A9E"/>
    <w:rsid w:val="00B6527B"/>
    <w:rsid w:val="00B65A32"/>
    <w:rsid w:val="00B670DF"/>
    <w:rsid w:val="00B67458"/>
    <w:rsid w:val="00B71366"/>
    <w:rsid w:val="00B71DB0"/>
    <w:rsid w:val="00B72AC1"/>
    <w:rsid w:val="00B7430C"/>
    <w:rsid w:val="00B77063"/>
    <w:rsid w:val="00B77EB5"/>
    <w:rsid w:val="00B80309"/>
    <w:rsid w:val="00B81958"/>
    <w:rsid w:val="00B84982"/>
    <w:rsid w:val="00B85CB8"/>
    <w:rsid w:val="00B909B4"/>
    <w:rsid w:val="00B90D42"/>
    <w:rsid w:val="00B9113E"/>
    <w:rsid w:val="00B91908"/>
    <w:rsid w:val="00B91EF6"/>
    <w:rsid w:val="00B928B1"/>
    <w:rsid w:val="00B93135"/>
    <w:rsid w:val="00B94824"/>
    <w:rsid w:val="00B95124"/>
    <w:rsid w:val="00B96536"/>
    <w:rsid w:val="00B96808"/>
    <w:rsid w:val="00B97297"/>
    <w:rsid w:val="00B978E2"/>
    <w:rsid w:val="00BA06B2"/>
    <w:rsid w:val="00BA110E"/>
    <w:rsid w:val="00BA19E0"/>
    <w:rsid w:val="00BA23E3"/>
    <w:rsid w:val="00BB07D0"/>
    <w:rsid w:val="00BB0E3F"/>
    <w:rsid w:val="00BB1CBA"/>
    <w:rsid w:val="00BB45EE"/>
    <w:rsid w:val="00BB586F"/>
    <w:rsid w:val="00BC0D75"/>
    <w:rsid w:val="00BC1627"/>
    <w:rsid w:val="00BC1974"/>
    <w:rsid w:val="00BC2D03"/>
    <w:rsid w:val="00BC3E82"/>
    <w:rsid w:val="00BC7353"/>
    <w:rsid w:val="00BD284B"/>
    <w:rsid w:val="00BD2FB8"/>
    <w:rsid w:val="00BD5872"/>
    <w:rsid w:val="00BD62AE"/>
    <w:rsid w:val="00BD689B"/>
    <w:rsid w:val="00BD6CE3"/>
    <w:rsid w:val="00BD7BF1"/>
    <w:rsid w:val="00BE17D6"/>
    <w:rsid w:val="00BE1B5C"/>
    <w:rsid w:val="00BE1FF1"/>
    <w:rsid w:val="00BE222A"/>
    <w:rsid w:val="00BE3698"/>
    <w:rsid w:val="00BE3BC5"/>
    <w:rsid w:val="00BE51EF"/>
    <w:rsid w:val="00BE5805"/>
    <w:rsid w:val="00BE70F1"/>
    <w:rsid w:val="00BE7755"/>
    <w:rsid w:val="00BE7C97"/>
    <w:rsid w:val="00BF0CB3"/>
    <w:rsid w:val="00BF30B5"/>
    <w:rsid w:val="00BF3553"/>
    <w:rsid w:val="00BF400F"/>
    <w:rsid w:val="00BF56E3"/>
    <w:rsid w:val="00BF57C3"/>
    <w:rsid w:val="00C005B3"/>
    <w:rsid w:val="00C00828"/>
    <w:rsid w:val="00C016B5"/>
    <w:rsid w:val="00C03CCB"/>
    <w:rsid w:val="00C03D1C"/>
    <w:rsid w:val="00C0482F"/>
    <w:rsid w:val="00C05929"/>
    <w:rsid w:val="00C07985"/>
    <w:rsid w:val="00C10085"/>
    <w:rsid w:val="00C101E6"/>
    <w:rsid w:val="00C12465"/>
    <w:rsid w:val="00C1453D"/>
    <w:rsid w:val="00C163AA"/>
    <w:rsid w:val="00C168D3"/>
    <w:rsid w:val="00C16D05"/>
    <w:rsid w:val="00C16FC5"/>
    <w:rsid w:val="00C2008A"/>
    <w:rsid w:val="00C21A24"/>
    <w:rsid w:val="00C21DA4"/>
    <w:rsid w:val="00C24BED"/>
    <w:rsid w:val="00C253EF"/>
    <w:rsid w:val="00C266E1"/>
    <w:rsid w:val="00C27618"/>
    <w:rsid w:val="00C305CD"/>
    <w:rsid w:val="00C30C83"/>
    <w:rsid w:val="00C31520"/>
    <w:rsid w:val="00C317EF"/>
    <w:rsid w:val="00C32E9C"/>
    <w:rsid w:val="00C33D34"/>
    <w:rsid w:val="00C3557B"/>
    <w:rsid w:val="00C36872"/>
    <w:rsid w:val="00C379F1"/>
    <w:rsid w:val="00C40453"/>
    <w:rsid w:val="00C4051C"/>
    <w:rsid w:val="00C416AE"/>
    <w:rsid w:val="00C42119"/>
    <w:rsid w:val="00C44063"/>
    <w:rsid w:val="00C46F1E"/>
    <w:rsid w:val="00C50032"/>
    <w:rsid w:val="00C506B1"/>
    <w:rsid w:val="00C50D0C"/>
    <w:rsid w:val="00C51DF8"/>
    <w:rsid w:val="00C52295"/>
    <w:rsid w:val="00C52BB0"/>
    <w:rsid w:val="00C53AA7"/>
    <w:rsid w:val="00C543B6"/>
    <w:rsid w:val="00C54E89"/>
    <w:rsid w:val="00C60C25"/>
    <w:rsid w:val="00C62419"/>
    <w:rsid w:val="00C6248E"/>
    <w:rsid w:val="00C62C8C"/>
    <w:rsid w:val="00C63F8C"/>
    <w:rsid w:val="00C64085"/>
    <w:rsid w:val="00C654EE"/>
    <w:rsid w:val="00C66C9C"/>
    <w:rsid w:val="00C7078C"/>
    <w:rsid w:val="00C713B3"/>
    <w:rsid w:val="00C74A69"/>
    <w:rsid w:val="00C75D7B"/>
    <w:rsid w:val="00C7608A"/>
    <w:rsid w:val="00C7623E"/>
    <w:rsid w:val="00C80652"/>
    <w:rsid w:val="00C82A60"/>
    <w:rsid w:val="00C8426E"/>
    <w:rsid w:val="00C8543C"/>
    <w:rsid w:val="00C86852"/>
    <w:rsid w:val="00C86B6C"/>
    <w:rsid w:val="00C87924"/>
    <w:rsid w:val="00C908FD"/>
    <w:rsid w:val="00C91A33"/>
    <w:rsid w:val="00C91DC4"/>
    <w:rsid w:val="00C939D7"/>
    <w:rsid w:val="00C93BD1"/>
    <w:rsid w:val="00C97052"/>
    <w:rsid w:val="00C9726F"/>
    <w:rsid w:val="00CA35FE"/>
    <w:rsid w:val="00CA3E11"/>
    <w:rsid w:val="00CA4441"/>
    <w:rsid w:val="00CA7388"/>
    <w:rsid w:val="00CB0396"/>
    <w:rsid w:val="00CB1F3F"/>
    <w:rsid w:val="00CB2BCA"/>
    <w:rsid w:val="00CB2F8D"/>
    <w:rsid w:val="00CB35D2"/>
    <w:rsid w:val="00CB3E53"/>
    <w:rsid w:val="00CB46CB"/>
    <w:rsid w:val="00CB6F74"/>
    <w:rsid w:val="00CB7F4B"/>
    <w:rsid w:val="00CC0A63"/>
    <w:rsid w:val="00CC0AA0"/>
    <w:rsid w:val="00CC2954"/>
    <w:rsid w:val="00CC3453"/>
    <w:rsid w:val="00CC387B"/>
    <w:rsid w:val="00CC3E27"/>
    <w:rsid w:val="00CC3F1A"/>
    <w:rsid w:val="00CC52EF"/>
    <w:rsid w:val="00CD6080"/>
    <w:rsid w:val="00CD7926"/>
    <w:rsid w:val="00CE0A36"/>
    <w:rsid w:val="00CE0B98"/>
    <w:rsid w:val="00CE0D19"/>
    <w:rsid w:val="00CE1416"/>
    <w:rsid w:val="00CE1BD5"/>
    <w:rsid w:val="00CE2044"/>
    <w:rsid w:val="00CE645B"/>
    <w:rsid w:val="00CE66DF"/>
    <w:rsid w:val="00CF0C09"/>
    <w:rsid w:val="00CF1CF5"/>
    <w:rsid w:val="00CF269B"/>
    <w:rsid w:val="00CF4FEC"/>
    <w:rsid w:val="00CF52F8"/>
    <w:rsid w:val="00CF53B9"/>
    <w:rsid w:val="00CF5567"/>
    <w:rsid w:val="00CF79A9"/>
    <w:rsid w:val="00CF7BC0"/>
    <w:rsid w:val="00D003C4"/>
    <w:rsid w:val="00D00AAD"/>
    <w:rsid w:val="00D072C0"/>
    <w:rsid w:val="00D1135C"/>
    <w:rsid w:val="00D11EA7"/>
    <w:rsid w:val="00D13156"/>
    <w:rsid w:val="00D1331B"/>
    <w:rsid w:val="00D13E89"/>
    <w:rsid w:val="00D1538D"/>
    <w:rsid w:val="00D159BD"/>
    <w:rsid w:val="00D15A1F"/>
    <w:rsid w:val="00D16C5D"/>
    <w:rsid w:val="00D26933"/>
    <w:rsid w:val="00D269B7"/>
    <w:rsid w:val="00D275C1"/>
    <w:rsid w:val="00D275FE"/>
    <w:rsid w:val="00D27F4F"/>
    <w:rsid w:val="00D3055F"/>
    <w:rsid w:val="00D310B2"/>
    <w:rsid w:val="00D3204F"/>
    <w:rsid w:val="00D32F82"/>
    <w:rsid w:val="00D3501C"/>
    <w:rsid w:val="00D367A8"/>
    <w:rsid w:val="00D37188"/>
    <w:rsid w:val="00D375B9"/>
    <w:rsid w:val="00D37785"/>
    <w:rsid w:val="00D40939"/>
    <w:rsid w:val="00D420CE"/>
    <w:rsid w:val="00D42EC6"/>
    <w:rsid w:val="00D43280"/>
    <w:rsid w:val="00D471C3"/>
    <w:rsid w:val="00D51601"/>
    <w:rsid w:val="00D526E9"/>
    <w:rsid w:val="00D53439"/>
    <w:rsid w:val="00D53C30"/>
    <w:rsid w:val="00D5439E"/>
    <w:rsid w:val="00D54906"/>
    <w:rsid w:val="00D550FE"/>
    <w:rsid w:val="00D55270"/>
    <w:rsid w:val="00D55406"/>
    <w:rsid w:val="00D55BFB"/>
    <w:rsid w:val="00D55C5F"/>
    <w:rsid w:val="00D56A45"/>
    <w:rsid w:val="00D56F06"/>
    <w:rsid w:val="00D61192"/>
    <w:rsid w:val="00D61502"/>
    <w:rsid w:val="00D61C6F"/>
    <w:rsid w:val="00D620EC"/>
    <w:rsid w:val="00D6392A"/>
    <w:rsid w:val="00D63D75"/>
    <w:rsid w:val="00D64BBB"/>
    <w:rsid w:val="00D65473"/>
    <w:rsid w:val="00D720C5"/>
    <w:rsid w:val="00D7287E"/>
    <w:rsid w:val="00D7333C"/>
    <w:rsid w:val="00D74396"/>
    <w:rsid w:val="00D7496E"/>
    <w:rsid w:val="00D75326"/>
    <w:rsid w:val="00D7549D"/>
    <w:rsid w:val="00D75E26"/>
    <w:rsid w:val="00D75E3C"/>
    <w:rsid w:val="00D762C5"/>
    <w:rsid w:val="00D80312"/>
    <w:rsid w:val="00D8082E"/>
    <w:rsid w:val="00D81E65"/>
    <w:rsid w:val="00D82084"/>
    <w:rsid w:val="00D82251"/>
    <w:rsid w:val="00D82A59"/>
    <w:rsid w:val="00D8349C"/>
    <w:rsid w:val="00D848FF"/>
    <w:rsid w:val="00D850F0"/>
    <w:rsid w:val="00D857BF"/>
    <w:rsid w:val="00D86681"/>
    <w:rsid w:val="00D86B2F"/>
    <w:rsid w:val="00D92381"/>
    <w:rsid w:val="00D9284D"/>
    <w:rsid w:val="00D9574C"/>
    <w:rsid w:val="00D958CF"/>
    <w:rsid w:val="00D95FFA"/>
    <w:rsid w:val="00DA0879"/>
    <w:rsid w:val="00DA2F38"/>
    <w:rsid w:val="00DA4DDF"/>
    <w:rsid w:val="00DA4E13"/>
    <w:rsid w:val="00DA50D7"/>
    <w:rsid w:val="00DA5B03"/>
    <w:rsid w:val="00DA6D33"/>
    <w:rsid w:val="00DA7D8F"/>
    <w:rsid w:val="00DA7F39"/>
    <w:rsid w:val="00DB056C"/>
    <w:rsid w:val="00DB0D10"/>
    <w:rsid w:val="00DB1580"/>
    <w:rsid w:val="00DB2B84"/>
    <w:rsid w:val="00DB3ADE"/>
    <w:rsid w:val="00DB3E35"/>
    <w:rsid w:val="00DB41CF"/>
    <w:rsid w:val="00DB468E"/>
    <w:rsid w:val="00DB5280"/>
    <w:rsid w:val="00DB55E7"/>
    <w:rsid w:val="00DC0CB9"/>
    <w:rsid w:val="00DC3412"/>
    <w:rsid w:val="00DC4E84"/>
    <w:rsid w:val="00DC6954"/>
    <w:rsid w:val="00DC69F0"/>
    <w:rsid w:val="00DD036C"/>
    <w:rsid w:val="00DD0F7D"/>
    <w:rsid w:val="00DD2321"/>
    <w:rsid w:val="00DD26BF"/>
    <w:rsid w:val="00DD2857"/>
    <w:rsid w:val="00DD2E01"/>
    <w:rsid w:val="00DD3785"/>
    <w:rsid w:val="00DD3C0E"/>
    <w:rsid w:val="00DD4CC2"/>
    <w:rsid w:val="00DD6D24"/>
    <w:rsid w:val="00DD6F95"/>
    <w:rsid w:val="00DD7407"/>
    <w:rsid w:val="00DE33F0"/>
    <w:rsid w:val="00DE4347"/>
    <w:rsid w:val="00DE66D8"/>
    <w:rsid w:val="00DF01DE"/>
    <w:rsid w:val="00DF083A"/>
    <w:rsid w:val="00DF172E"/>
    <w:rsid w:val="00DF1F25"/>
    <w:rsid w:val="00DF3128"/>
    <w:rsid w:val="00DF4D83"/>
    <w:rsid w:val="00DF5FFE"/>
    <w:rsid w:val="00DF6CFD"/>
    <w:rsid w:val="00DF71A8"/>
    <w:rsid w:val="00E0062F"/>
    <w:rsid w:val="00E006B7"/>
    <w:rsid w:val="00E032B2"/>
    <w:rsid w:val="00E03EDF"/>
    <w:rsid w:val="00E04C07"/>
    <w:rsid w:val="00E04F3D"/>
    <w:rsid w:val="00E04F65"/>
    <w:rsid w:val="00E069DD"/>
    <w:rsid w:val="00E07DA5"/>
    <w:rsid w:val="00E10233"/>
    <w:rsid w:val="00E10F16"/>
    <w:rsid w:val="00E1136F"/>
    <w:rsid w:val="00E127DC"/>
    <w:rsid w:val="00E12CA1"/>
    <w:rsid w:val="00E14423"/>
    <w:rsid w:val="00E14690"/>
    <w:rsid w:val="00E16B24"/>
    <w:rsid w:val="00E20D37"/>
    <w:rsid w:val="00E223B2"/>
    <w:rsid w:val="00E258B9"/>
    <w:rsid w:val="00E26F74"/>
    <w:rsid w:val="00E27019"/>
    <w:rsid w:val="00E279C0"/>
    <w:rsid w:val="00E31DC4"/>
    <w:rsid w:val="00E3666D"/>
    <w:rsid w:val="00E40505"/>
    <w:rsid w:val="00E4448B"/>
    <w:rsid w:val="00E44F29"/>
    <w:rsid w:val="00E4530F"/>
    <w:rsid w:val="00E50734"/>
    <w:rsid w:val="00E50D0F"/>
    <w:rsid w:val="00E5107F"/>
    <w:rsid w:val="00E52228"/>
    <w:rsid w:val="00E5336F"/>
    <w:rsid w:val="00E535F4"/>
    <w:rsid w:val="00E53718"/>
    <w:rsid w:val="00E54D53"/>
    <w:rsid w:val="00E55B80"/>
    <w:rsid w:val="00E57022"/>
    <w:rsid w:val="00E5785C"/>
    <w:rsid w:val="00E57B47"/>
    <w:rsid w:val="00E60554"/>
    <w:rsid w:val="00E60C0B"/>
    <w:rsid w:val="00E62181"/>
    <w:rsid w:val="00E64333"/>
    <w:rsid w:val="00E64FF0"/>
    <w:rsid w:val="00E65E9F"/>
    <w:rsid w:val="00E670F6"/>
    <w:rsid w:val="00E719EE"/>
    <w:rsid w:val="00E73710"/>
    <w:rsid w:val="00E76900"/>
    <w:rsid w:val="00E811CF"/>
    <w:rsid w:val="00E81280"/>
    <w:rsid w:val="00E82F28"/>
    <w:rsid w:val="00E8320D"/>
    <w:rsid w:val="00E838D6"/>
    <w:rsid w:val="00E841ED"/>
    <w:rsid w:val="00E86F5B"/>
    <w:rsid w:val="00E87ABC"/>
    <w:rsid w:val="00E90072"/>
    <w:rsid w:val="00E90F52"/>
    <w:rsid w:val="00E9107B"/>
    <w:rsid w:val="00E912BA"/>
    <w:rsid w:val="00E93814"/>
    <w:rsid w:val="00E94504"/>
    <w:rsid w:val="00E95290"/>
    <w:rsid w:val="00EA0BB1"/>
    <w:rsid w:val="00EA1957"/>
    <w:rsid w:val="00EA20A5"/>
    <w:rsid w:val="00EA2CF8"/>
    <w:rsid w:val="00EA3D86"/>
    <w:rsid w:val="00EA43EF"/>
    <w:rsid w:val="00EA74BC"/>
    <w:rsid w:val="00EA7834"/>
    <w:rsid w:val="00EB0557"/>
    <w:rsid w:val="00EB2C82"/>
    <w:rsid w:val="00EB32AD"/>
    <w:rsid w:val="00EB38C3"/>
    <w:rsid w:val="00EB5A07"/>
    <w:rsid w:val="00EB5BD4"/>
    <w:rsid w:val="00EB6ED3"/>
    <w:rsid w:val="00EC011F"/>
    <w:rsid w:val="00EC072B"/>
    <w:rsid w:val="00EC219A"/>
    <w:rsid w:val="00EC26BC"/>
    <w:rsid w:val="00EC5C75"/>
    <w:rsid w:val="00EC7164"/>
    <w:rsid w:val="00EC7335"/>
    <w:rsid w:val="00ED1AC1"/>
    <w:rsid w:val="00ED24EB"/>
    <w:rsid w:val="00ED34CE"/>
    <w:rsid w:val="00ED3BC9"/>
    <w:rsid w:val="00ED3E9C"/>
    <w:rsid w:val="00ED3FA7"/>
    <w:rsid w:val="00ED4496"/>
    <w:rsid w:val="00ED523D"/>
    <w:rsid w:val="00ED6102"/>
    <w:rsid w:val="00ED6F10"/>
    <w:rsid w:val="00ED7066"/>
    <w:rsid w:val="00EE00F1"/>
    <w:rsid w:val="00EE0794"/>
    <w:rsid w:val="00EE0E7D"/>
    <w:rsid w:val="00EE3445"/>
    <w:rsid w:val="00EE3CD2"/>
    <w:rsid w:val="00EE44D3"/>
    <w:rsid w:val="00EE5849"/>
    <w:rsid w:val="00EE6DFA"/>
    <w:rsid w:val="00EE795A"/>
    <w:rsid w:val="00EF06C7"/>
    <w:rsid w:val="00EF08FA"/>
    <w:rsid w:val="00EF090B"/>
    <w:rsid w:val="00EF093B"/>
    <w:rsid w:val="00EF2173"/>
    <w:rsid w:val="00EF3F8B"/>
    <w:rsid w:val="00EF67DB"/>
    <w:rsid w:val="00EF68E8"/>
    <w:rsid w:val="00F03211"/>
    <w:rsid w:val="00F041EE"/>
    <w:rsid w:val="00F05A8A"/>
    <w:rsid w:val="00F105A3"/>
    <w:rsid w:val="00F10A8C"/>
    <w:rsid w:val="00F11013"/>
    <w:rsid w:val="00F1119B"/>
    <w:rsid w:val="00F127F9"/>
    <w:rsid w:val="00F15452"/>
    <w:rsid w:val="00F159C8"/>
    <w:rsid w:val="00F15E5D"/>
    <w:rsid w:val="00F17164"/>
    <w:rsid w:val="00F17271"/>
    <w:rsid w:val="00F17678"/>
    <w:rsid w:val="00F17D54"/>
    <w:rsid w:val="00F17DC3"/>
    <w:rsid w:val="00F23E20"/>
    <w:rsid w:val="00F2421C"/>
    <w:rsid w:val="00F24C12"/>
    <w:rsid w:val="00F25F9F"/>
    <w:rsid w:val="00F26132"/>
    <w:rsid w:val="00F26FCB"/>
    <w:rsid w:val="00F30298"/>
    <w:rsid w:val="00F30629"/>
    <w:rsid w:val="00F310D9"/>
    <w:rsid w:val="00F315ED"/>
    <w:rsid w:val="00F31ACB"/>
    <w:rsid w:val="00F31D65"/>
    <w:rsid w:val="00F31E2B"/>
    <w:rsid w:val="00F329AA"/>
    <w:rsid w:val="00F334B1"/>
    <w:rsid w:val="00F34C1E"/>
    <w:rsid w:val="00F36EDB"/>
    <w:rsid w:val="00F403FD"/>
    <w:rsid w:val="00F41600"/>
    <w:rsid w:val="00F4176D"/>
    <w:rsid w:val="00F43524"/>
    <w:rsid w:val="00F441E8"/>
    <w:rsid w:val="00F4439C"/>
    <w:rsid w:val="00F44739"/>
    <w:rsid w:val="00F45DBC"/>
    <w:rsid w:val="00F50EEB"/>
    <w:rsid w:val="00F51773"/>
    <w:rsid w:val="00F53001"/>
    <w:rsid w:val="00F53AC8"/>
    <w:rsid w:val="00F55F19"/>
    <w:rsid w:val="00F5756B"/>
    <w:rsid w:val="00F5798F"/>
    <w:rsid w:val="00F604BE"/>
    <w:rsid w:val="00F61FD1"/>
    <w:rsid w:val="00F63124"/>
    <w:rsid w:val="00F631E7"/>
    <w:rsid w:val="00F642EB"/>
    <w:rsid w:val="00F64500"/>
    <w:rsid w:val="00F657F6"/>
    <w:rsid w:val="00F65943"/>
    <w:rsid w:val="00F66D12"/>
    <w:rsid w:val="00F67128"/>
    <w:rsid w:val="00F677F8"/>
    <w:rsid w:val="00F67F50"/>
    <w:rsid w:val="00F7215C"/>
    <w:rsid w:val="00F74E9D"/>
    <w:rsid w:val="00F75C16"/>
    <w:rsid w:val="00F75DB9"/>
    <w:rsid w:val="00F76984"/>
    <w:rsid w:val="00F77CF0"/>
    <w:rsid w:val="00F80D75"/>
    <w:rsid w:val="00F815FB"/>
    <w:rsid w:val="00F82458"/>
    <w:rsid w:val="00F829BC"/>
    <w:rsid w:val="00F8309F"/>
    <w:rsid w:val="00F84FCC"/>
    <w:rsid w:val="00F86DB7"/>
    <w:rsid w:val="00F9563C"/>
    <w:rsid w:val="00F963F6"/>
    <w:rsid w:val="00F96992"/>
    <w:rsid w:val="00F96F8A"/>
    <w:rsid w:val="00F96FB6"/>
    <w:rsid w:val="00FA0767"/>
    <w:rsid w:val="00FA0F29"/>
    <w:rsid w:val="00FA16A3"/>
    <w:rsid w:val="00FA1B51"/>
    <w:rsid w:val="00FA294F"/>
    <w:rsid w:val="00FA53C0"/>
    <w:rsid w:val="00FB2629"/>
    <w:rsid w:val="00FB3367"/>
    <w:rsid w:val="00FB4E4C"/>
    <w:rsid w:val="00FB7D21"/>
    <w:rsid w:val="00FC179C"/>
    <w:rsid w:val="00FC322C"/>
    <w:rsid w:val="00FC39B1"/>
    <w:rsid w:val="00FC39D6"/>
    <w:rsid w:val="00FC3B03"/>
    <w:rsid w:val="00FC4323"/>
    <w:rsid w:val="00FC66AF"/>
    <w:rsid w:val="00FC674C"/>
    <w:rsid w:val="00FC6B03"/>
    <w:rsid w:val="00FD162A"/>
    <w:rsid w:val="00FD3B4E"/>
    <w:rsid w:val="00FD4A73"/>
    <w:rsid w:val="00FD4ACA"/>
    <w:rsid w:val="00FD5249"/>
    <w:rsid w:val="00FD6934"/>
    <w:rsid w:val="00FD71B5"/>
    <w:rsid w:val="00FE04BB"/>
    <w:rsid w:val="00FE0929"/>
    <w:rsid w:val="00FE317C"/>
    <w:rsid w:val="00FE31E0"/>
    <w:rsid w:val="00FE7BAF"/>
    <w:rsid w:val="00FE7C0A"/>
    <w:rsid w:val="00FF0D22"/>
    <w:rsid w:val="00FF0E7C"/>
    <w:rsid w:val="00FF1CF8"/>
    <w:rsid w:val="00FF26F9"/>
    <w:rsid w:val="00FF402C"/>
    <w:rsid w:val="00FF53BB"/>
    <w:rsid w:val="00FF6C63"/>
    <w:rsid w:val="00FF77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2C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8638C"/>
    <w:pPr>
      <w:tabs>
        <w:tab w:val="center" w:pos="4153"/>
        <w:tab w:val="right" w:pos="8306"/>
      </w:tabs>
      <w:snapToGrid w:val="0"/>
      <w:jc w:val="left"/>
    </w:pPr>
    <w:rPr>
      <w:kern w:val="0"/>
      <w:sz w:val="18"/>
      <w:szCs w:val="18"/>
    </w:rPr>
  </w:style>
  <w:style w:type="character" w:customStyle="1" w:styleId="Char">
    <w:name w:val="页脚 Char"/>
    <w:link w:val="a3"/>
    <w:uiPriority w:val="99"/>
    <w:rsid w:val="0098638C"/>
    <w:rPr>
      <w:rFonts w:ascii="Calibri" w:eastAsia="宋体" w:hAnsi="Calibri" w:cs="Times New Roman"/>
      <w:kern w:val="0"/>
      <w:sz w:val="18"/>
      <w:szCs w:val="18"/>
    </w:rPr>
  </w:style>
  <w:style w:type="paragraph" w:styleId="a4">
    <w:name w:val="Body Text Indent"/>
    <w:basedOn w:val="a"/>
    <w:link w:val="Char0"/>
    <w:rsid w:val="0098638C"/>
    <w:pPr>
      <w:spacing w:after="120"/>
      <w:ind w:leftChars="200" w:left="420"/>
    </w:pPr>
    <w:rPr>
      <w:rFonts w:ascii="Times New Roman" w:hAnsi="Times New Roman"/>
      <w:kern w:val="0"/>
      <w:sz w:val="20"/>
      <w:szCs w:val="24"/>
    </w:rPr>
  </w:style>
  <w:style w:type="character" w:customStyle="1" w:styleId="Char0">
    <w:name w:val="正文文本缩进 Char"/>
    <w:link w:val="a4"/>
    <w:rsid w:val="0098638C"/>
    <w:rPr>
      <w:rFonts w:ascii="Times New Roman" w:eastAsia="宋体" w:hAnsi="Times New Roman" w:cs="Times New Roman"/>
      <w:kern w:val="0"/>
      <w:sz w:val="20"/>
      <w:szCs w:val="24"/>
    </w:rPr>
  </w:style>
  <w:style w:type="character" w:styleId="a5">
    <w:name w:val="page number"/>
    <w:rsid w:val="0098638C"/>
  </w:style>
  <w:style w:type="paragraph" w:customStyle="1" w:styleId="Default">
    <w:name w:val="Default"/>
    <w:rsid w:val="0098638C"/>
    <w:pPr>
      <w:widowControl w:val="0"/>
      <w:autoSpaceDE w:val="0"/>
      <w:autoSpaceDN w:val="0"/>
      <w:adjustRightInd w:val="0"/>
    </w:pPr>
    <w:rPr>
      <w:rFonts w:ascii="楷体_GB2312" w:eastAsia="楷体_GB2312" w:hAnsi="Times New Roman" w:cs="楷体_GB2312"/>
      <w:color w:val="000000"/>
      <w:sz w:val="24"/>
      <w:szCs w:val="24"/>
    </w:rPr>
  </w:style>
  <w:style w:type="character" w:styleId="a6">
    <w:name w:val="annotation reference"/>
    <w:uiPriority w:val="99"/>
    <w:semiHidden/>
    <w:unhideWhenUsed/>
    <w:rsid w:val="0098638C"/>
    <w:rPr>
      <w:sz w:val="21"/>
      <w:szCs w:val="21"/>
    </w:rPr>
  </w:style>
  <w:style w:type="paragraph" w:styleId="a7">
    <w:name w:val="annotation text"/>
    <w:basedOn w:val="a"/>
    <w:link w:val="Char1"/>
    <w:uiPriority w:val="99"/>
    <w:semiHidden/>
    <w:unhideWhenUsed/>
    <w:rsid w:val="0098638C"/>
    <w:pPr>
      <w:jc w:val="left"/>
    </w:pPr>
    <w:rPr>
      <w:rFonts w:ascii="Times New Roman" w:hAnsi="Times New Roman"/>
      <w:kern w:val="0"/>
      <w:sz w:val="20"/>
      <w:szCs w:val="24"/>
    </w:rPr>
  </w:style>
  <w:style w:type="character" w:customStyle="1" w:styleId="Char1">
    <w:name w:val="批注文字 Char"/>
    <w:link w:val="a7"/>
    <w:uiPriority w:val="99"/>
    <w:semiHidden/>
    <w:rsid w:val="0098638C"/>
    <w:rPr>
      <w:rFonts w:ascii="Times New Roman" w:eastAsia="宋体" w:hAnsi="Times New Roman" w:cs="Times New Roman"/>
      <w:szCs w:val="24"/>
    </w:rPr>
  </w:style>
  <w:style w:type="paragraph" w:styleId="a8">
    <w:name w:val="Balloon Text"/>
    <w:basedOn w:val="a"/>
    <w:link w:val="Char2"/>
    <w:uiPriority w:val="99"/>
    <w:semiHidden/>
    <w:unhideWhenUsed/>
    <w:rsid w:val="0098638C"/>
    <w:rPr>
      <w:rFonts w:ascii="Times New Roman" w:hAnsi="Times New Roman"/>
      <w:kern w:val="0"/>
      <w:sz w:val="18"/>
      <w:szCs w:val="18"/>
    </w:rPr>
  </w:style>
  <w:style w:type="character" w:customStyle="1" w:styleId="Char2">
    <w:name w:val="批注框文本 Char"/>
    <w:link w:val="a8"/>
    <w:uiPriority w:val="99"/>
    <w:semiHidden/>
    <w:rsid w:val="0098638C"/>
    <w:rPr>
      <w:rFonts w:ascii="Times New Roman" w:eastAsia="宋体" w:hAnsi="Times New Roman" w:cs="Times New Roman"/>
      <w:sz w:val="18"/>
      <w:szCs w:val="18"/>
    </w:rPr>
  </w:style>
  <w:style w:type="paragraph" w:styleId="a9">
    <w:name w:val="header"/>
    <w:basedOn w:val="a"/>
    <w:link w:val="Char3"/>
    <w:uiPriority w:val="99"/>
    <w:unhideWhenUsed/>
    <w:rsid w:val="00345555"/>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3">
    <w:name w:val="页眉 Char"/>
    <w:link w:val="a9"/>
    <w:uiPriority w:val="99"/>
    <w:rsid w:val="00345555"/>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39661220">
      <w:bodyDiv w:val="1"/>
      <w:marLeft w:val="0"/>
      <w:marRight w:val="0"/>
      <w:marTop w:val="0"/>
      <w:marBottom w:val="0"/>
      <w:divBdr>
        <w:top w:val="none" w:sz="0" w:space="0" w:color="auto"/>
        <w:left w:val="none" w:sz="0" w:space="0" w:color="auto"/>
        <w:bottom w:val="none" w:sz="0" w:space="0" w:color="auto"/>
        <w:right w:val="none" w:sz="0" w:space="0" w:color="auto"/>
      </w:divBdr>
    </w:div>
    <w:div w:id="190995055">
      <w:bodyDiv w:val="1"/>
      <w:marLeft w:val="0"/>
      <w:marRight w:val="0"/>
      <w:marTop w:val="0"/>
      <w:marBottom w:val="0"/>
      <w:divBdr>
        <w:top w:val="none" w:sz="0" w:space="0" w:color="auto"/>
        <w:left w:val="none" w:sz="0" w:space="0" w:color="auto"/>
        <w:bottom w:val="none" w:sz="0" w:space="0" w:color="auto"/>
        <w:right w:val="none" w:sz="0" w:space="0" w:color="auto"/>
      </w:divBdr>
    </w:div>
    <w:div w:id="210465950">
      <w:bodyDiv w:val="1"/>
      <w:marLeft w:val="0"/>
      <w:marRight w:val="0"/>
      <w:marTop w:val="0"/>
      <w:marBottom w:val="0"/>
      <w:divBdr>
        <w:top w:val="none" w:sz="0" w:space="0" w:color="auto"/>
        <w:left w:val="none" w:sz="0" w:space="0" w:color="auto"/>
        <w:bottom w:val="none" w:sz="0" w:space="0" w:color="auto"/>
        <w:right w:val="none" w:sz="0" w:space="0" w:color="auto"/>
      </w:divBdr>
    </w:div>
    <w:div w:id="235825457">
      <w:bodyDiv w:val="1"/>
      <w:marLeft w:val="0"/>
      <w:marRight w:val="0"/>
      <w:marTop w:val="0"/>
      <w:marBottom w:val="0"/>
      <w:divBdr>
        <w:top w:val="none" w:sz="0" w:space="0" w:color="auto"/>
        <w:left w:val="none" w:sz="0" w:space="0" w:color="auto"/>
        <w:bottom w:val="none" w:sz="0" w:space="0" w:color="auto"/>
        <w:right w:val="none" w:sz="0" w:space="0" w:color="auto"/>
      </w:divBdr>
    </w:div>
    <w:div w:id="241525763">
      <w:bodyDiv w:val="1"/>
      <w:marLeft w:val="0"/>
      <w:marRight w:val="0"/>
      <w:marTop w:val="0"/>
      <w:marBottom w:val="0"/>
      <w:divBdr>
        <w:top w:val="none" w:sz="0" w:space="0" w:color="auto"/>
        <w:left w:val="none" w:sz="0" w:space="0" w:color="auto"/>
        <w:bottom w:val="none" w:sz="0" w:space="0" w:color="auto"/>
        <w:right w:val="none" w:sz="0" w:space="0" w:color="auto"/>
      </w:divBdr>
    </w:div>
    <w:div w:id="481897414">
      <w:bodyDiv w:val="1"/>
      <w:marLeft w:val="0"/>
      <w:marRight w:val="0"/>
      <w:marTop w:val="0"/>
      <w:marBottom w:val="0"/>
      <w:divBdr>
        <w:top w:val="none" w:sz="0" w:space="0" w:color="auto"/>
        <w:left w:val="none" w:sz="0" w:space="0" w:color="auto"/>
        <w:bottom w:val="none" w:sz="0" w:space="0" w:color="auto"/>
        <w:right w:val="none" w:sz="0" w:space="0" w:color="auto"/>
      </w:divBdr>
    </w:div>
    <w:div w:id="488523299">
      <w:bodyDiv w:val="1"/>
      <w:marLeft w:val="0"/>
      <w:marRight w:val="0"/>
      <w:marTop w:val="0"/>
      <w:marBottom w:val="0"/>
      <w:divBdr>
        <w:top w:val="none" w:sz="0" w:space="0" w:color="auto"/>
        <w:left w:val="none" w:sz="0" w:space="0" w:color="auto"/>
        <w:bottom w:val="none" w:sz="0" w:space="0" w:color="auto"/>
        <w:right w:val="none" w:sz="0" w:space="0" w:color="auto"/>
      </w:divBdr>
    </w:div>
    <w:div w:id="625620859">
      <w:bodyDiv w:val="1"/>
      <w:marLeft w:val="0"/>
      <w:marRight w:val="0"/>
      <w:marTop w:val="0"/>
      <w:marBottom w:val="0"/>
      <w:divBdr>
        <w:top w:val="none" w:sz="0" w:space="0" w:color="auto"/>
        <w:left w:val="none" w:sz="0" w:space="0" w:color="auto"/>
        <w:bottom w:val="none" w:sz="0" w:space="0" w:color="auto"/>
        <w:right w:val="none" w:sz="0" w:space="0" w:color="auto"/>
      </w:divBdr>
    </w:div>
    <w:div w:id="636644781">
      <w:bodyDiv w:val="1"/>
      <w:marLeft w:val="0"/>
      <w:marRight w:val="0"/>
      <w:marTop w:val="0"/>
      <w:marBottom w:val="0"/>
      <w:divBdr>
        <w:top w:val="none" w:sz="0" w:space="0" w:color="auto"/>
        <w:left w:val="none" w:sz="0" w:space="0" w:color="auto"/>
        <w:bottom w:val="none" w:sz="0" w:space="0" w:color="auto"/>
        <w:right w:val="none" w:sz="0" w:space="0" w:color="auto"/>
      </w:divBdr>
    </w:div>
    <w:div w:id="649676025">
      <w:bodyDiv w:val="1"/>
      <w:marLeft w:val="0"/>
      <w:marRight w:val="0"/>
      <w:marTop w:val="0"/>
      <w:marBottom w:val="0"/>
      <w:divBdr>
        <w:top w:val="none" w:sz="0" w:space="0" w:color="auto"/>
        <w:left w:val="none" w:sz="0" w:space="0" w:color="auto"/>
        <w:bottom w:val="none" w:sz="0" w:space="0" w:color="auto"/>
        <w:right w:val="none" w:sz="0" w:space="0" w:color="auto"/>
      </w:divBdr>
    </w:div>
    <w:div w:id="915044279">
      <w:bodyDiv w:val="1"/>
      <w:marLeft w:val="0"/>
      <w:marRight w:val="0"/>
      <w:marTop w:val="0"/>
      <w:marBottom w:val="0"/>
      <w:divBdr>
        <w:top w:val="none" w:sz="0" w:space="0" w:color="auto"/>
        <w:left w:val="none" w:sz="0" w:space="0" w:color="auto"/>
        <w:bottom w:val="none" w:sz="0" w:space="0" w:color="auto"/>
        <w:right w:val="none" w:sz="0" w:space="0" w:color="auto"/>
      </w:divBdr>
    </w:div>
    <w:div w:id="920794862">
      <w:bodyDiv w:val="1"/>
      <w:marLeft w:val="0"/>
      <w:marRight w:val="0"/>
      <w:marTop w:val="0"/>
      <w:marBottom w:val="0"/>
      <w:divBdr>
        <w:top w:val="none" w:sz="0" w:space="0" w:color="auto"/>
        <w:left w:val="none" w:sz="0" w:space="0" w:color="auto"/>
        <w:bottom w:val="none" w:sz="0" w:space="0" w:color="auto"/>
        <w:right w:val="none" w:sz="0" w:space="0" w:color="auto"/>
      </w:divBdr>
    </w:div>
    <w:div w:id="950163535">
      <w:bodyDiv w:val="1"/>
      <w:marLeft w:val="0"/>
      <w:marRight w:val="0"/>
      <w:marTop w:val="0"/>
      <w:marBottom w:val="0"/>
      <w:divBdr>
        <w:top w:val="none" w:sz="0" w:space="0" w:color="auto"/>
        <w:left w:val="none" w:sz="0" w:space="0" w:color="auto"/>
        <w:bottom w:val="none" w:sz="0" w:space="0" w:color="auto"/>
        <w:right w:val="none" w:sz="0" w:space="0" w:color="auto"/>
      </w:divBdr>
    </w:div>
    <w:div w:id="1014720718">
      <w:bodyDiv w:val="1"/>
      <w:marLeft w:val="0"/>
      <w:marRight w:val="0"/>
      <w:marTop w:val="0"/>
      <w:marBottom w:val="0"/>
      <w:divBdr>
        <w:top w:val="none" w:sz="0" w:space="0" w:color="auto"/>
        <w:left w:val="none" w:sz="0" w:space="0" w:color="auto"/>
        <w:bottom w:val="none" w:sz="0" w:space="0" w:color="auto"/>
        <w:right w:val="none" w:sz="0" w:space="0" w:color="auto"/>
      </w:divBdr>
    </w:div>
    <w:div w:id="1062564278">
      <w:bodyDiv w:val="1"/>
      <w:marLeft w:val="0"/>
      <w:marRight w:val="0"/>
      <w:marTop w:val="0"/>
      <w:marBottom w:val="0"/>
      <w:divBdr>
        <w:top w:val="none" w:sz="0" w:space="0" w:color="auto"/>
        <w:left w:val="none" w:sz="0" w:space="0" w:color="auto"/>
        <w:bottom w:val="none" w:sz="0" w:space="0" w:color="auto"/>
        <w:right w:val="none" w:sz="0" w:space="0" w:color="auto"/>
      </w:divBdr>
    </w:div>
    <w:div w:id="1240751345">
      <w:bodyDiv w:val="1"/>
      <w:marLeft w:val="0"/>
      <w:marRight w:val="0"/>
      <w:marTop w:val="0"/>
      <w:marBottom w:val="0"/>
      <w:divBdr>
        <w:top w:val="none" w:sz="0" w:space="0" w:color="auto"/>
        <w:left w:val="none" w:sz="0" w:space="0" w:color="auto"/>
        <w:bottom w:val="none" w:sz="0" w:space="0" w:color="auto"/>
        <w:right w:val="none" w:sz="0" w:space="0" w:color="auto"/>
      </w:divBdr>
    </w:div>
    <w:div w:id="1280335223">
      <w:bodyDiv w:val="1"/>
      <w:marLeft w:val="0"/>
      <w:marRight w:val="0"/>
      <w:marTop w:val="0"/>
      <w:marBottom w:val="0"/>
      <w:divBdr>
        <w:top w:val="none" w:sz="0" w:space="0" w:color="auto"/>
        <w:left w:val="none" w:sz="0" w:space="0" w:color="auto"/>
        <w:bottom w:val="none" w:sz="0" w:space="0" w:color="auto"/>
        <w:right w:val="none" w:sz="0" w:space="0" w:color="auto"/>
      </w:divBdr>
    </w:div>
    <w:div w:id="1309743007">
      <w:bodyDiv w:val="1"/>
      <w:marLeft w:val="0"/>
      <w:marRight w:val="0"/>
      <w:marTop w:val="0"/>
      <w:marBottom w:val="0"/>
      <w:divBdr>
        <w:top w:val="none" w:sz="0" w:space="0" w:color="auto"/>
        <w:left w:val="none" w:sz="0" w:space="0" w:color="auto"/>
        <w:bottom w:val="none" w:sz="0" w:space="0" w:color="auto"/>
        <w:right w:val="none" w:sz="0" w:space="0" w:color="auto"/>
      </w:divBdr>
    </w:div>
    <w:div w:id="1315254511">
      <w:bodyDiv w:val="1"/>
      <w:marLeft w:val="0"/>
      <w:marRight w:val="0"/>
      <w:marTop w:val="0"/>
      <w:marBottom w:val="0"/>
      <w:divBdr>
        <w:top w:val="none" w:sz="0" w:space="0" w:color="auto"/>
        <w:left w:val="none" w:sz="0" w:space="0" w:color="auto"/>
        <w:bottom w:val="none" w:sz="0" w:space="0" w:color="auto"/>
        <w:right w:val="none" w:sz="0" w:space="0" w:color="auto"/>
      </w:divBdr>
    </w:div>
    <w:div w:id="1399670740">
      <w:bodyDiv w:val="1"/>
      <w:marLeft w:val="0"/>
      <w:marRight w:val="0"/>
      <w:marTop w:val="0"/>
      <w:marBottom w:val="0"/>
      <w:divBdr>
        <w:top w:val="none" w:sz="0" w:space="0" w:color="auto"/>
        <w:left w:val="none" w:sz="0" w:space="0" w:color="auto"/>
        <w:bottom w:val="none" w:sz="0" w:space="0" w:color="auto"/>
        <w:right w:val="none" w:sz="0" w:space="0" w:color="auto"/>
      </w:divBdr>
    </w:div>
    <w:div w:id="1455368948">
      <w:bodyDiv w:val="1"/>
      <w:marLeft w:val="0"/>
      <w:marRight w:val="0"/>
      <w:marTop w:val="0"/>
      <w:marBottom w:val="0"/>
      <w:divBdr>
        <w:top w:val="none" w:sz="0" w:space="0" w:color="auto"/>
        <w:left w:val="none" w:sz="0" w:space="0" w:color="auto"/>
        <w:bottom w:val="none" w:sz="0" w:space="0" w:color="auto"/>
        <w:right w:val="none" w:sz="0" w:space="0" w:color="auto"/>
      </w:divBdr>
    </w:div>
    <w:div w:id="1660042038">
      <w:bodyDiv w:val="1"/>
      <w:marLeft w:val="0"/>
      <w:marRight w:val="0"/>
      <w:marTop w:val="0"/>
      <w:marBottom w:val="0"/>
      <w:divBdr>
        <w:top w:val="none" w:sz="0" w:space="0" w:color="auto"/>
        <w:left w:val="none" w:sz="0" w:space="0" w:color="auto"/>
        <w:bottom w:val="none" w:sz="0" w:space="0" w:color="auto"/>
        <w:right w:val="none" w:sz="0" w:space="0" w:color="auto"/>
      </w:divBdr>
    </w:div>
    <w:div w:id="1738624916">
      <w:bodyDiv w:val="1"/>
      <w:marLeft w:val="0"/>
      <w:marRight w:val="0"/>
      <w:marTop w:val="0"/>
      <w:marBottom w:val="0"/>
      <w:divBdr>
        <w:top w:val="none" w:sz="0" w:space="0" w:color="auto"/>
        <w:left w:val="none" w:sz="0" w:space="0" w:color="auto"/>
        <w:bottom w:val="none" w:sz="0" w:space="0" w:color="auto"/>
        <w:right w:val="none" w:sz="0" w:space="0" w:color="auto"/>
      </w:divBdr>
    </w:div>
    <w:div w:id="1774590350">
      <w:bodyDiv w:val="1"/>
      <w:marLeft w:val="0"/>
      <w:marRight w:val="0"/>
      <w:marTop w:val="0"/>
      <w:marBottom w:val="0"/>
      <w:divBdr>
        <w:top w:val="none" w:sz="0" w:space="0" w:color="auto"/>
        <w:left w:val="none" w:sz="0" w:space="0" w:color="auto"/>
        <w:bottom w:val="none" w:sz="0" w:space="0" w:color="auto"/>
        <w:right w:val="none" w:sz="0" w:space="0" w:color="auto"/>
      </w:divBdr>
    </w:div>
    <w:div w:id="1850098381">
      <w:bodyDiv w:val="1"/>
      <w:marLeft w:val="0"/>
      <w:marRight w:val="0"/>
      <w:marTop w:val="0"/>
      <w:marBottom w:val="0"/>
      <w:divBdr>
        <w:top w:val="none" w:sz="0" w:space="0" w:color="auto"/>
        <w:left w:val="none" w:sz="0" w:space="0" w:color="auto"/>
        <w:bottom w:val="none" w:sz="0" w:space="0" w:color="auto"/>
        <w:right w:val="none" w:sz="0" w:space="0" w:color="auto"/>
      </w:divBdr>
    </w:div>
    <w:div w:id="1856311887">
      <w:bodyDiv w:val="1"/>
      <w:marLeft w:val="0"/>
      <w:marRight w:val="0"/>
      <w:marTop w:val="0"/>
      <w:marBottom w:val="0"/>
      <w:divBdr>
        <w:top w:val="none" w:sz="0" w:space="0" w:color="auto"/>
        <w:left w:val="none" w:sz="0" w:space="0" w:color="auto"/>
        <w:bottom w:val="none" w:sz="0" w:space="0" w:color="auto"/>
        <w:right w:val="none" w:sz="0" w:space="0" w:color="auto"/>
      </w:divBdr>
    </w:div>
    <w:div w:id="1921137001">
      <w:bodyDiv w:val="1"/>
      <w:marLeft w:val="0"/>
      <w:marRight w:val="0"/>
      <w:marTop w:val="0"/>
      <w:marBottom w:val="0"/>
      <w:divBdr>
        <w:top w:val="none" w:sz="0" w:space="0" w:color="auto"/>
        <w:left w:val="none" w:sz="0" w:space="0" w:color="auto"/>
        <w:bottom w:val="none" w:sz="0" w:space="0" w:color="auto"/>
        <w:right w:val="none" w:sz="0" w:space="0" w:color="auto"/>
      </w:divBdr>
    </w:div>
    <w:div w:id="2022731356">
      <w:bodyDiv w:val="1"/>
      <w:marLeft w:val="0"/>
      <w:marRight w:val="0"/>
      <w:marTop w:val="0"/>
      <w:marBottom w:val="0"/>
      <w:divBdr>
        <w:top w:val="none" w:sz="0" w:space="0" w:color="auto"/>
        <w:left w:val="none" w:sz="0" w:space="0" w:color="auto"/>
        <w:bottom w:val="none" w:sz="0" w:space="0" w:color="auto"/>
        <w:right w:val="none" w:sz="0" w:space="0" w:color="auto"/>
      </w:divBdr>
    </w:div>
    <w:div w:id="2028484598">
      <w:bodyDiv w:val="1"/>
      <w:marLeft w:val="0"/>
      <w:marRight w:val="0"/>
      <w:marTop w:val="0"/>
      <w:marBottom w:val="0"/>
      <w:divBdr>
        <w:top w:val="none" w:sz="0" w:space="0" w:color="auto"/>
        <w:left w:val="none" w:sz="0" w:space="0" w:color="auto"/>
        <w:bottom w:val="none" w:sz="0" w:space="0" w:color="auto"/>
        <w:right w:val="none" w:sz="0" w:space="0" w:color="auto"/>
      </w:divBdr>
    </w:div>
    <w:div w:id="2031567648">
      <w:bodyDiv w:val="1"/>
      <w:marLeft w:val="0"/>
      <w:marRight w:val="0"/>
      <w:marTop w:val="0"/>
      <w:marBottom w:val="0"/>
      <w:divBdr>
        <w:top w:val="none" w:sz="0" w:space="0" w:color="auto"/>
        <w:left w:val="none" w:sz="0" w:space="0" w:color="auto"/>
        <w:bottom w:val="none" w:sz="0" w:space="0" w:color="auto"/>
        <w:right w:val="none" w:sz="0" w:space="0" w:color="auto"/>
      </w:divBdr>
    </w:div>
    <w:div w:id="2033451358">
      <w:bodyDiv w:val="1"/>
      <w:marLeft w:val="0"/>
      <w:marRight w:val="0"/>
      <w:marTop w:val="0"/>
      <w:marBottom w:val="0"/>
      <w:divBdr>
        <w:top w:val="none" w:sz="0" w:space="0" w:color="auto"/>
        <w:left w:val="none" w:sz="0" w:space="0" w:color="auto"/>
        <w:bottom w:val="none" w:sz="0" w:space="0" w:color="auto"/>
        <w:right w:val="none" w:sz="0" w:space="0" w:color="auto"/>
      </w:divBdr>
    </w:div>
    <w:div w:id="2079863356">
      <w:bodyDiv w:val="1"/>
      <w:marLeft w:val="0"/>
      <w:marRight w:val="0"/>
      <w:marTop w:val="0"/>
      <w:marBottom w:val="0"/>
      <w:divBdr>
        <w:top w:val="none" w:sz="0" w:space="0" w:color="auto"/>
        <w:left w:val="none" w:sz="0" w:space="0" w:color="auto"/>
        <w:bottom w:val="none" w:sz="0" w:space="0" w:color="auto"/>
        <w:right w:val="none" w:sz="0" w:space="0" w:color="auto"/>
      </w:divBdr>
    </w:div>
    <w:div w:id="213879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904</Words>
  <Characters>5157</Characters>
  <Application>Microsoft Office Word</Application>
  <DocSecurity>0</DocSecurity>
  <Lines>42</Lines>
  <Paragraphs>12</Paragraphs>
  <ScaleCrop>false</ScaleCrop>
  <Company/>
  <LinksUpToDate>false</LinksUpToDate>
  <CharactersWithSpaces>6049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中国建设银行陕西分行“乾元”保本型人民币2014年第220期</dc:title>
  <dc:creator>投资银行部</dc:creator>
  <cp:lastModifiedBy>王蓓</cp:lastModifiedBy>
  <cp:revision>20</cp:revision>
  <cp:lastPrinted>2012-06-08T05:51:00Z</cp:lastPrinted>
  <dcterms:created xsi:type="dcterms:W3CDTF">2015-11-26T07:46:00Z</dcterms:created>
  <dcterms:modified xsi:type="dcterms:W3CDTF">2015-12-11T07:56:00Z</dcterms:modified>
</cp:coreProperties>
</file>