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彩虹小标宋" w:hAnsi="宋体" w:eastAsia="彩虹小标宋" w:cs="Times New Roman"/>
          <w:b/>
          <w:snapToGrid w:val="0"/>
          <w:kern w:val="0"/>
          <w:sz w:val="44"/>
          <w:szCs w:val="44"/>
        </w:rPr>
      </w:pPr>
      <w:r>
        <w:rPr>
          <w:rFonts w:hint="eastAsia" w:ascii="彩虹小标宋" w:hAnsi="宋体" w:eastAsia="彩虹小标宋" w:cs="Times New Roman"/>
          <w:b/>
          <w:snapToGrid w:val="0"/>
          <w:kern w:val="0"/>
          <w:sz w:val="44"/>
          <w:szCs w:val="44"/>
        </w:rPr>
        <w:t>2024-2025年电子银行服务外包采购需求</w:t>
      </w:r>
    </w:p>
    <w:p>
      <w:pPr>
        <w:spacing w:line="360" w:lineRule="auto"/>
        <w:ind w:firstLine="640" w:firstLineChars="200"/>
        <w:rPr>
          <w:rFonts w:ascii="彩虹粗仿宋" w:hAnsi="宋体" w:eastAsia="彩虹粗仿宋" w:cs="Times New Roman"/>
          <w:snapToGrid w:val="0"/>
          <w:kern w:val="0"/>
          <w:sz w:val="32"/>
          <w:szCs w:val="32"/>
        </w:rPr>
      </w:pPr>
    </w:p>
    <w:p>
      <w:pPr>
        <w:spacing w:line="360" w:lineRule="auto"/>
        <w:ind w:firstLine="640" w:firstLineChars="200"/>
        <w:rPr>
          <w:rFonts w:ascii="彩虹黑体" w:hAnsi="宋体" w:eastAsia="彩虹黑体" w:cs="Times New Roman"/>
          <w:snapToGrid w:val="0"/>
          <w:kern w:val="0"/>
          <w:sz w:val="32"/>
          <w:szCs w:val="32"/>
        </w:rPr>
      </w:pPr>
      <w:r>
        <w:rPr>
          <w:rFonts w:hint="eastAsia" w:ascii="彩虹黑体" w:hAnsi="宋体" w:eastAsia="彩虹黑体" w:cs="Times New Roman"/>
          <w:snapToGrid w:val="0"/>
          <w:kern w:val="0"/>
          <w:sz w:val="32"/>
          <w:szCs w:val="32"/>
        </w:rPr>
        <w:t>一、服务项目</w:t>
      </w:r>
    </w:p>
    <w:p>
      <w:pPr>
        <w:spacing w:line="360" w:lineRule="auto"/>
        <w:ind w:firstLine="640" w:firstLineChars="200"/>
        <w:rPr>
          <w:rFonts w:ascii="彩虹粗仿宋" w:hAnsi="宋体" w:eastAsia="彩虹粗仿宋" w:cs="Times New Roman"/>
          <w:snapToGrid w:val="0"/>
          <w:kern w:val="0"/>
          <w:sz w:val="32"/>
          <w:szCs w:val="32"/>
        </w:rPr>
      </w:pPr>
      <w:r>
        <w:rPr>
          <w:rFonts w:hint="eastAsia" w:ascii="彩虹粗仿宋" w:hAnsi="宋体" w:eastAsia="彩虹粗仿宋" w:cs="Times New Roman"/>
          <w:snapToGrid w:val="0"/>
          <w:kern w:val="0"/>
          <w:sz w:val="32"/>
          <w:szCs w:val="32"/>
        </w:rPr>
        <w:t>2024-2025年电子银行服务外包</w:t>
      </w:r>
    </w:p>
    <w:p>
      <w:pPr>
        <w:spacing w:line="360" w:lineRule="auto"/>
        <w:ind w:firstLine="640" w:firstLineChars="200"/>
        <w:rPr>
          <w:rFonts w:ascii="彩虹黑体" w:hAnsi="宋体" w:eastAsia="彩虹黑体" w:cs="Times New Roman"/>
          <w:snapToGrid w:val="0"/>
          <w:kern w:val="0"/>
          <w:sz w:val="32"/>
          <w:szCs w:val="32"/>
        </w:rPr>
      </w:pPr>
      <w:r>
        <w:rPr>
          <w:rFonts w:hint="eastAsia" w:ascii="彩虹黑体" w:hAnsi="宋体" w:eastAsia="彩虹黑体" w:cs="Times New Roman"/>
          <w:snapToGrid w:val="0"/>
          <w:kern w:val="0"/>
          <w:sz w:val="32"/>
          <w:szCs w:val="32"/>
        </w:rPr>
        <w:t>二、服务内容</w:t>
      </w:r>
    </w:p>
    <w:p>
      <w:pPr>
        <w:spacing w:line="360" w:lineRule="auto"/>
        <w:ind w:firstLine="640" w:firstLineChars="200"/>
        <w:rPr>
          <w:rFonts w:hint="eastAsia" w:ascii="彩虹粗仿宋" w:hAnsi="宋体" w:eastAsia="彩虹粗仿宋" w:cs="Times New Roman"/>
          <w:snapToGrid w:val="0"/>
          <w:kern w:val="0"/>
          <w:sz w:val="32"/>
          <w:szCs w:val="32"/>
        </w:rPr>
      </w:pPr>
      <w:r>
        <w:rPr>
          <w:rFonts w:hint="eastAsia" w:ascii="彩虹粗仿宋" w:hAnsi="宋体" w:eastAsia="彩虹粗仿宋" w:cs="Times New Roman"/>
          <w:snapToGrid w:val="0"/>
          <w:kern w:val="0"/>
          <w:sz w:val="32"/>
          <w:szCs w:val="32"/>
        </w:rPr>
        <w:t>供应商根据我分行电子银行服务外包合作要求，组建电子银行辅助营销外包团队，负责对办理手机银行、快捷绑卡、建行生活等签约个人电子银行产品的客户提供售后服务，包括客户签约后首次使用的指导、激活、交易等工作。合作期限为2024年7月1日至2025年6月30日，各项产品业务量预计如下：</w:t>
      </w:r>
    </w:p>
    <w:tbl>
      <w:tblPr>
        <w:tblStyle w:val="4"/>
        <w:tblW w:w="5000" w:type="pct"/>
        <w:tblInd w:w="0" w:type="dxa"/>
        <w:tblLayout w:type="autofit"/>
        <w:tblCellMar>
          <w:top w:w="0" w:type="dxa"/>
          <w:left w:w="108" w:type="dxa"/>
          <w:bottom w:w="0" w:type="dxa"/>
          <w:right w:w="108" w:type="dxa"/>
        </w:tblCellMar>
      </w:tblPr>
      <w:tblGrid>
        <w:gridCol w:w="1452"/>
        <w:gridCol w:w="1176"/>
        <w:gridCol w:w="5894"/>
      </w:tblGrid>
      <w:tr>
        <w:tblPrEx>
          <w:tblCellMar>
            <w:top w:w="0" w:type="dxa"/>
            <w:left w:w="108" w:type="dxa"/>
            <w:bottom w:w="0" w:type="dxa"/>
            <w:right w:w="108" w:type="dxa"/>
          </w:tblCellMar>
        </w:tblPrEx>
        <w:trPr>
          <w:trHeight w:val="645" w:hRule="atLeast"/>
        </w:trPr>
        <w:tc>
          <w:tcPr>
            <w:tcW w:w="8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w:t>
            </w:r>
          </w:p>
        </w:tc>
        <w:tc>
          <w:tcPr>
            <w:tcW w:w="69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业务量（万户）</w:t>
            </w:r>
          </w:p>
        </w:tc>
        <w:tc>
          <w:tcPr>
            <w:tcW w:w="345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服务内容</w:t>
            </w:r>
          </w:p>
        </w:tc>
      </w:tr>
      <w:tr>
        <w:tblPrEx>
          <w:tblCellMar>
            <w:top w:w="0" w:type="dxa"/>
            <w:left w:w="108" w:type="dxa"/>
            <w:bottom w:w="0" w:type="dxa"/>
            <w:right w:w="108" w:type="dxa"/>
          </w:tblCellMar>
        </w:tblPrEx>
        <w:trPr>
          <w:trHeight w:val="1110" w:hRule="atLeast"/>
        </w:trPr>
        <w:tc>
          <w:tcPr>
            <w:tcW w:w="85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手机银行下载注册</w:t>
            </w:r>
          </w:p>
        </w:tc>
        <w:tc>
          <w:tcPr>
            <w:tcW w:w="6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345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指导签约建行手机银行的客户下载安装手机银行，并完成首次登录（如客户为二次开卡办理签约的，则剔除原已下载使用手机银行的客户）</w:t>
            </w:r>
          </w:p>
        </w:tc>
      </w:tr>
      <w:tr>
        <w:tblPrEx>
          <w:tblCellMar>
            <w:top w:w="0" w:type="dxa"/>
            <w:left w:w="108" w:type="dxa"/>
            <w:bottom w:w="0" w:type="dxa"/>
            <w:right w:w="108" w:type="dxa"/>
          </w:tblCellMar>
        </w:tblPrEx>
        <w:trPr>
          <w:trHeight w:val="720" w:hRule="atLeast"/>
        </w:trPr>
        <w:tc>
          <w:tcPr>
            <w:tcW w:w="85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手机银行激活</w:t>
            </w:r>
          </w:p>
        </w:tc>
        <w:tc>
          <w:tcPr>
            <w:tcW w:w="6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345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指导首次登录建行手机银行的客户，完成至少1笔账务性交易</w:t>
            </w:r>
          </w:p>
        </w:tc>
      </w:tr>
      <w:tr>
        <w:tblPrEx>
          <w:tblCellMar>
            <w:top w:w="0" w:type="dxa"/>
            <w:left w:w="108" w:type="dxa"/>
            <w:bottom w:w="0" w:type="dxa"/>
            <w:right w:w="108" w:type="dxa"/>
          </w:tblCellMar>
        </w:tblPrEx>
        <w:trPr>
          <w:trHeight w:val="720" w:hRule="atLeast"/>
        </w:trPr>
        <w:tc>
          <w:tcPr>
            <w:tcW w:w="85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快捷绑卡（支付宝）</w:t>
            </w:r>
          </w:p>
        </w:tc>
        <w:tc>
          <w:tcPr>
            <w:tcW w:w="6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345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协助客户将建行卡首次绑定支付宝</w:t>
            </w:r>
          </w:p>
        </w:tc>
      </w:tr>
      <w:tr>
        <w:tblPrEx>
          <w:tblCellMar>
            <w:top w:w="0" w:type="dxa"/>
            <w:left w:w="108" w:type="dxa"/>
            <w:bottom w:w="0" w:type="dxa"/>
            <w:right w:w="108" w:type="dxa"/>
          </w:tblCellMar>
        </w:tblPrEx>
        <w:trPr>
          <w:trHeight w:val="720" w:hRule="atLeast"/>
        </w:trPr>
        <w:tc>
          <w:tcPr>
            <w:tcW w:w="85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快捷绑卡（微信）</w:t>
            </w:r>
          </w:p>
        </w:tc>
        <w:tc>
          <w:tcPr>
            <w:tcW w:w="6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345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协助客户将建行卡首次绑定微信</w:t>
            </w:r>
          </w:p>
        </w:tc>
      </w:tr>
      <w:tr>
        <w:tblPrEx>
          <w:tblCellMar>
            <w:top w:w="0" w:type="dxa"/>
            <w:left w:w="108" w:type="dxa"/>
            <w:bottom w:w="0" w:type="dxa"/>
            <w:right w:w="108" w:type="dxa"/>
          </w:tblCellMar>
        </w:tblPrEx>
        <w:trPr>
          <w:trHeight w:val="720" w:hRule="atLeast"/>
        </w:trPr>
        <w:tc>
          <w:tcPr>
            <w:tcW w:w="85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快捷绑卡（其他）</w:t>
            </w:r>
          </w:p>
        </w:tc>
        <w:tc>
          <w:tcPr>
            <w:tcW w:w="6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345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协助客户将建行卡首次绑定抖音、拼多多、京东、美团等快捷支付</w:t>
            </w:r>
          </w:p>
        </w:tc>
      </w:tr>
      <w:tr>
        <w:tblPrEx>
          <w:tblCellMar>
            <w:top w:w="0" w:type="dxa"/>
            <w:left w:w="108" w:type="dxa"/>
            <w:bottom w:w="0" w:type="dxa"/>
            <w:right w:w="108" w:type="dxa"/>
          </w:tblCellMar>
        </w:tblPrEx>
        <w:trPr>
          <w:trHeight w:val="720" w:hRule="atLeast"/>
        </w:trPr>
        <w:tc>
          <w:tcPr>
            <w:tcW w:w="85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快捷绑卡交易</w:t>
            </w:r>
          </w:p>
        </w:tc>
        <w:tc>
          <w:tcPr>
            <w:tcW w:w="6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3458"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指协助首次绑定微信/支付宝的客户至少完成1笔交易（充值、提现、消费等）</w:t>
            </w:r>
          </w:p>
        </w:tc>
      </w:tr>
      <w:tr>
        <w:tblPrEx>
          <w:tblCellMar>
            <w:top w:w="0" w:type="dxa"/>
            <w:left w:w="108" w:type="dxa"/>
            <w:bottom w:w="0" w:type="dxa"/>
            <w:right w:w="108" w:type="dxa"/>
          </w:tblCellMar>
        </w:tblPrEx>
        <w:trPr>
          <w:trHeight w:val="720" w:hRule="atLeast"/>
        </w:trPr>
        <w:tc>
          <w:tcPr>
            <w:tcW w:w="85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高价值用户</w:t>
            </w:r>
          </w:p>
        </w:tc>
        <w:tc>
          <w:tcPr>
            <w:tcW w:w="6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345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引导客户完成建行指定产品/活动（如惠省钱、网络金融主关系达标、晋升达标等）</w:t>
            </w:r>
          </w:p>
        </w:tc>
      </w:tr>
      <w:tr>
        <w:tblPrEx>
          <w:tblCellMar>
            <w:top w:w="0" w:type="dxa"/>
            <w:left w:w="108" w:type="dxa"/>
            <w:bottom w:w="0" w:type="dxa"/>
            <w:right w:w="108" w:type="dxa"/>
          </w:tblCellMar>
        </w:tblPrEx>
        <w:trPr>
          <w:trHeight w:val="720" w:hRule="atLeast"/>
        </w:trPr>
        <w:tc>
          <w:tcPr>
            <w:tcW w:w="85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建行生活新注册</w:t>
            </w:r>
          </w:p>
        </w:tc>
        <w:tc>
          <w:tcPr>
            <w:tcW w:w="6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34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指导客户首次下载并注册建行生活 APP</w:t>
            </w:r>
          </w:p>
        </w:tc>
      </w:tr>
      <w:tr>
        <w:tblPrEx>
          <w:tblCellMar>
            <w:top w:w="0" w:type="dxa"/>
            <w:left w:w="108" w:type="dxa"/>
            <w:bottom w:w="0" w:type="dxa"/>
            <w:right w:w="108" w:type="dxa"/>
          </w:tblCellMar>
        </w:tblPrEx>
        <w:trPr>
          <w:trHeight w:val="1230" w:hRule="atLeast"/>
        </w:trPr>
        <w:tc>
          <w:tcPr>
            <w:tcW w:w="85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建行生活新注册交易达标</w:t>
            </w:r>
          </w:p>
        </w:tc>
        <w:tc>
          <w:tcPr>
            <w:tcW w:w="6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w:t>
            </w:r>
          </w:p>
        </w:tc>
        <w:tc>
          <w:tcPr>
            <w:tcW w:w="34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指导建行生活 APP新注册客户开通建行钱包，且完成至少 1 笔账务性交易（订单金额需大于10元）</w:t>
            </w:r>
          </w:p>
        </w:tc>
      </w:tr>
    </w:tbl>
    <w:p>
      <w:pPr>
        <w:spacing w:line="360" w:lineRule="auto"/>
        <w:rPr>
          <w:rFonts w:ascii="彩虹粗仿宋" w:hAnsi="宋体" w:eastAsia="彩虹粗仿宋" w:cs="Times New Roman"/>
          <w:snapToGrid w:val="0"/>
          <w:kern w:val="0"/>
          <w:sz w:val="32"/>
          <w:szCs w:val="32"/>
        </w:rPr>
      </w:pPr>
    </w:p>
    <w:p>
      <w:pPr>
        <w:spacing w:line="360" w:lineRule="auto"/>
        <w:ind w:firstLine="640" w:firstLineChars="200"/>
        <w:rPr>
          <w:rFonts w:ascii="彩虹黑体" w:hAnsi="宋体" w:eastAsia="彩虹黑体" w:cs="Times New Roman"/>
          <w:snapToGrid w:val="0"/>
          <w:kern w:val="0"/>
          <w:sz w:val="32"/>
          <w:szCs w:val="32"/>
        </w:rPr>
      </w:pPr>
      <w:r>
        <w:rPr>
          <w:rFonts w:hint="eastAsia" w:ascii="彩虹黑体" w:hAnsi="宋体" w:eastAsia="彩虹黑体" w:cs="Times New Roman"/>
          <w:snapToGrid w:val="0"/>
          <w:kern w:val="0"/>
          <w:sz w:val="32"/>
          <w:szCs w:val="32"/>
        </w:rPr>
        <w:t>三、服务团队</w:t>
      </w:r>
    </w:p>
    <w:p>
      <w:pPr>
        <w:spacing w:line="360" w:lineRule="auto"/>
        <w:ind w:firstLine="640" w:firstLineChars="200"/>
        <w:rPr>
          <w:rFonts w:ascii="彩虹粗仿宋" w:hAnsi="宋体" w:eastAsia="彩虹粗仿宋" w:cs="Times New Roman"/>
          <w:snapToGrid w:val="0"/>
          <w:kern w:val="0"/>
          <w:sz w:val="32"/>
          <w:szCs w:val="32"/>
        </w:rPr>
      </w:pPr>
      <w:r>
        <w:rPr>
          <w:rFonts w:hint="eastAsia" w:ascii="彩虹粗仿宋" w:hAnsi="宋体" w:eastAsia="彩虹粗仿宋" w:cs="Times New Roman"/>
          <w:snapToGrid w:val="0"/>
          <w:kern w:val="0"/>
          <w:sz w:val="32"/>
          <w:szCs w:val="32"/>
        </w:rPr>
        <w:t>1.供应商应具备电子银行辅助营销服务所需的内部管理制度建设，包括稽核培训、保密管理、系统安全、信息安全管理、客户投诉处理、应急方案、人员管理等制度。</w:t>
      </w:r>
    </w:p>
    <w:p>
      <w:pPr>
        <w:spacing w:line="360" w:lineRule="auto"/>
        <w:ind w:firstLine="640" w:firstLineChars="200"/>
        <w:rPr>
          <w:rFonts w:ascii="彩虹粗仿宋" w:hAnsi="宋体" w:eastAsia="彩虹粗仿宋" w:cs="Times New Roman"/>
          <w:snapToGrid w:val="0"/>
          <w:kern w:val="0"/>
          <w:sz w:val="32"/>
          <w:szCs w:val="32"/>
        </w:rPr>
      </w:pPr>
      <w:r>
        <w:rPr>
          <w:rFonts w:hint="eastAsia" w:ascii="彩虹粗仿宋" w:hAnsi="宋体" w:eastAsia="彩虹粗仿宋" w:cs="Times New Roman"/>
          <w:snapToGrid w:val="0"/>
          <w:kern w:val="0"/>
          <w:sz w:val="32"/>
          <w:szCs w:val="32"/>
        </w:rPr>
        <w:t>2.供应商应成立电子银行辅助营销外包专职团队，根据我分行需求配置人员数量。</w:t>
      </w:r>
    </w:p>
    <w:p>
      <w:pPr>
        <w:spacing w:line="360" w:lineRule="auto"/>
        <w:ind w:firstLine="640" w:firstLineChars="200"/>
        <w:rPr>
          <w:rFonts w:ascii="彩虹黑体" w:hAnsi="宋体" w:eastAsia="彩虹黑体" w:cs="Times New Roman"/>
          <w:snapToGrid w:val="0"/>
          <w:kern w:val="0"/>
          <w:sz w:val="32"/>
          <w:szCs w:val="32"/>
        </w:rPr>
      </w:pPr>
      <w:r>
        <w:rPr>
          <w:rFonts w:hint="eastAsia" w:ascii="彩虹黑体" w:hAnsi="宋体" w:eastAsia="彩虹黑体" w:cs="Times New Roman"/>
          <w:snapToGrid w:val="0"/>
          <w:kern w:val="0"/>
          <w:sz w:val="32"/>
          <w:szCs w:val="32"/>
        </w:rPr>
        <w:t>四、服务质量要求</w:t>
      </w:r>
    </w:p>
    <w:p>
      <w:pPr>
        <w:spacing w:line="360" w:lineRule="auto"/>
        <w:ind w:firstLine="640" w:firstLineChars="200"/>
        <w:rPr>
          <w:rFonts w:ascii="彩虹粗仿宋" w:hAnsi="宋体" w:eastAsia="彩虹粗仿宋" w:cs="Times New Roman"/>
          <w:snapToGrid w:val="0"/>
          <w:kern w:val="0"/>
          <w:sz w:val="32"/>
          <w:szCs w:val="32"/>
        </w:rPr>
      </w:pPr>
      <w:r>
        <w:rPr>
          <w:rFonts w:hint="eastAsia" w:ascii="彩虹粗仿宋" w:hAnsi="宋体" w:eastAsia="彩虹粗仿宋" w:cs="Times New Roman"/>
          <w:snapToGrid w:val="0"/>
          <w:kern w:val="0"/>
          <w:sz w:val="32"/>
          <w:szCs w:val="32"/>
        </w:rPr>
        <w:t>供应商应合法合规开展电子银行辅助营销工作，履行合作协议承诺的服务标准和服务承诺，制定和建立突发事件应急预案和机制，严格执行协议保密义务，遵循消费者权益保护规定，充分保障电子银行客户权益及信息安全，确保电子银行业务的正常开展。</w:t>
      </w:r>
    </w:p>
    <w:p>
      <w:pPr>
        <w:spacing w:line="360" w:lineRule="auto"/>
        <w:ind w:firstLine="640" w:firstLineChars="200"/>
        <w:rPr>
          <w:rFonts w:ascii="彩虹黑体" w:hAnsi="宋体" w:eastAsia="彩虹黑体" w:cs="Times New Roman"/>
          <w:snapToGrid w:val="0"/>
          <w:kern w:val="0"/>
          <w:sz w:val="32"/>
          <w:szCs w:val="32"/>
        </w:rPr>
      </w:pPr>
      <w:r>
        <w:rPr>
          <w:rFonts w:hint="eastAsia" w:ascii="彩虹黑体" w:hAnsi="宋体" w:eastAsia="彩虹黑体" w:cs="Times New Roman"/>
          <w:snapToGrid w:val="0"/>
          <w:kern w:val="0"/>
          <w:sz w:val="32"/>
          <w:szCs w:val="32"/>
        </w:rPr>
        <w:t>五、款项支付要求</w:t>
      </w:r>
    </w:p>
    <w:p>
      <w:pPr>
        <w:spacing w:line="360" w:lineRule="auto"/>
        <w:ind w:firstLine="640" w:firstLineChars="200"/>
        <w:rPr>
          <w:rFonts w:ascii="彩虹粗仿宋" w:hAnsi="宋体" w:eastAsia="彩虹粗仿宋" w:cs="Times New Roman"/>
          <w:snapToGrid w:val="0"/>
          <w:kern w:val="0"/>
          <w:sz w:val="32"/>
          <w:szCs w:val="32"/>
        </w:rPr>
      </w:pPr>
      <w:r>
        <w:rPr>
          <w:rFonts w:hint="eastAsia" w:ascii="彩虹粗仿宋" w:hAnsi="宋体" w:eastAsia="彩虹粗仿宋" w:cs="Times New Roman"/>
          <w:snapToGrid w:val="0"/>
          <w:kern w:val="0"/>
          <w:sz w:val="32"/>
          <w:szCs w:val="32"/>
        </w:rPr>
        <w:t>1.电子银行辅助营销外包根据供应商指导客户成为有效客户数量支付相关服务费用。</w:t>
      </w:r>
    </w:p>
    <w:p>
      <w:pPr>
        <w:spacing w:line="360" w:lineRule="auto"/>
        <w:ind w:firstLine="640" w:firstLineChars="200"/>
        <w:rPr>
          <w:rFonts w:ascii="彩虹粗仿宋" w:hAnsi="宋体" w:eastAsia="彩虹粗仿宋" w:cs="Times New Roman"/>
          <w:snapToGrid w:val="0"/>
          <w:kern w:val="0"/>
          <w:sz w:val="32"/>
          <w:szCs w:val="32"/>
        </w:rPr>
      </w:pPr>
      <w:r>
        <w:rPr>
          <w:rFonts w:hint="eastAsia" w:ascii="彩虹粗仿宋" w:hAnsi="宋体" w:eastAsia="彩虹粗仿宋" w:cs="Times New Roman"/>
          <w:snapToGrid w:val="0"/>
          <w:kern w:val="0"/>
          <w:sz w:val="32"/>
          <w:szCs w:val="32"/>
        </w:rPr>
        <w:t>2.原则上供应商须在我分行开立账户（与中国建设银行龙集采平台https://ibuy.ccb.com/供应商预留账户一致），作为合同指定付款账户；</w:t>
      </w:r>
    </w:p>
    <w:p>
      <w:pPr>
        <w:spacing w:line="360" w:lineRule="auto"/>
        <w:ind w:firstLine="640" w:firstLineChars="200"/>
        <w:rPr>
          <w:rFonts w:ascii="彩虹粗仿宋" w:hAnsi="宋体" w:eastAsia="彩虹粗仿宋" w:cs="Times New Roman"/>
          <w:snapToGrid w:val="0"/>
          <w:kern w:val="0"/>
          <w:sz w:val="32"/>
          <w:szCs w:val="32"/>
        </w:rPr>
      </w:pPr>
      <w:r>
        <w:rPr>
          <w:rFonts w:hint="eastAsia" w:ascii="彩虹粗仿宋" w:hAnsi="宋体" w:eastAsia="彩虹粗仿宋" w:cs="Times New Roman"/>
          <w:snapToGrid w:val="0"/>
          <w:kern w:val="0"/>
          <w:sz w:val="32"/>
          <w:szCs w:val="32"/>
        </w:rPr>
        <w:t>3.付款方式：供应商按月提供结算单和验收单与我分行核对。双方核对无误后由供应商提供增值税专用发票，我分行收到发票确认无误后支付该结算周期款项。</w:t>
      </w:r>
    </w:p>
    <w:p>
      <w:pPr>
        <w:spacing w:line="360" w:lineRule="auto"/>
        <w:ind w:firstLine="640" w:firstLineChars="200"/>
        <w:rPr>
          <w:rFonts w:ascii="彩虹粗仿宋" w:hAnsi="宋体" w:eastAsia="彩虹粗仿宋" w:cs="Times New Roman"/>
          <w:snapToGrid w:val="0"/>
          <w:kern w:val="0"/>
          <w:sz w:val="32"/>
          <w:szCs w:val="32"/>
        </w:rPr>
      </w:pPr>
      <w:r>
        <w:rPr>
          <w:rFonts w:hint="eastAsia" w:ascii="彩虹粗仿宋" w:hAnsi="Calibri" w:eastAsia="彩虹粗仿宋"/>
          <w:sz w:val="32"/>
          <w:szCs w:val="32"/>
        </w:rPr>
        <w:t>4.保证金：入选供应商在电子银行辅助营销外包协议签订后10个工作日内</w:t>
      </w:r>
      <w:r>
        <w:rPr>
          <w:rFonts w:hint="eastAsia" w:ascii="彩虹粗仿宋" w:hAnsi="宋体" w:eastAsia="彩虹粗仿宋" w:cs="Times New Roman"/>
          <w:snapToGrid w:val="0"/>
          <w:kern w:val="0"/>
          <w:sz w:val="32"/>
          <w:szCs w:val="32"/>
        </w:rPr>
        <w:t>收取履约保证金5万元人民币，</w:t>
      </w:r>
      <w:r>
        <w:rPr>
          <w:rFonts w:hint="eastAsia" w:ascii="彩虹粗仿宋" w:hAnsi="Calibri" w:eastAsia="彩虹粗仿宋"/>
          <w:sz w:val="32"/>
          <w:szCs w:val="32"/>
        </w:rPr>
        <w:t>采用在我分行开立电子银行辅助营销外包保证金专户方式。</w:t>
      </w:r>
      <w:r>
        <w:rPr>
          <w:rFonts w:hint="eastAsia" w:ascii="彩虹粗仿宋" w:hAnsi="宋体" w:eastAsia="彩虹粗仿宋" w:cs="Times New Roman"/>
          <w:snapToGrid w:val="0"/>
          <w:kern w:val="0"/>
          <w:sz w:val="32"/>
          <w:szCs w:val="32"/>
        </w:rPr>
        <w:t>合同期内供应商按合同约定的责任和义务履约的，协议终止3个月后将保证金一次性退还。</w:t>
      </w:r>
    </w:p>
    <w:p>
      <w:pPr>
        <w:spacing w:line="360" w:lineRule="auto"/>
        <w:ind w:firstLine="640" w:firstLineChars="200"/>
        <w:rPr>
          <w:rFonts w:ascii="彩虹黑体" w:hAnsi="宋体" w:eastAsia="彩虹黑体" w:cs="Times New Roman"/>
          <w:snapToGrid w:val="0"/>
          <w:kern w:val="0"/>
          <w:sz w:val="32"/>
          <w:szCs w:val="32"/>
        </w:rPr>
      </w:pPr>
      <w:r>
        <w:rPr>
          <w:rFonts w:hint="eastAsia" w:ascii="彩虹黑体" w:hAnsi="宋体" w:eastAsia="彩虹黑体" w:cs="Times New Roman"/>
          <w:snapToGrid w:val="0"/>
          <w:kern w:val="0"/>
          <w:sz w:val="32"/>
          <w:szCs w:val="32"/>
        </w:rPr>
        <w:t>六、服务供应安排</w:t>
      </w:r>
    </w:p>
    <w:p>
      <w:pPr>
        <w:spacing w:line="360" w:lineRule="auto"/>
        <w:ind w:firstLine="640" w:firstLineChars="200"/>
        <w:rPr>
          <w:rFonts w:ascii="彩虹粗仿宋" w:hAnsi="宋体" w:eastAsia="彩虹粗仿宋" w:cs="Times New Roman"/>
          <w:snapToGrid w:val="0"/>
          <w:kern w:val="0"/>
          <w:sz w:val="32"/>
          <w:szCs w:val="32"/>
        </w:rPr>
      </w:pPr>
      <w:r>
        <w:rPr>
          <w:rFonts w:hint="eastAsia" w:ascii="彩虹粗仿宋" w:hAnsi="宋体" w:eastAsia="彩虹粗仿宋" w:cs="Times New Roman"/>
          <w:snapToGrid w:val="0"/>
          <w:kern w:val="0"/>
          <w:sz w:val="32"/>
          <w:szCs w:val="32"/>
        </w:rPr>
        <w:t>供应商按照我分行的要</w:t>
      </w:r>
      <w:r>
        <w:rPr>
          <w:rFonts w:hint="eastAsia" w:ascii="彩虹粗仿宋" w:hAnsi="Calibri" w:eastAsia="彩虹粗仿宋"/>
          <w:sz w:val="32"/>
          <w:szCs w:val="32"/>
        </w:rPr>
        <w:t>求</w:t>
      </w:r>
      <w:bookmarkStart w:id="0" w:name="_GoBack"/>
      <w:bookmarkEnd w:id="0"/>
      <w:r>
        <w:rPr>
          <w:rFonts w:hint="eastAsia" w:ascii="彩虹粗仿宋" w:hAnsi="Calibri" w:eastAsia="彩虹粗仿宋"/>
          <w:sz w:val="32"/>
          <w:szCs w:val="32"/>
        </w:rPr>
        <w:t>组建专属的服务团队，在项目时间开始前确保团队人员规</w:t>
      </w:r>
      <w:r>
        <w:rPr>
          <w:rFonts w:hint="eastAsia" w:ascii="彩虹粗仿宋" w:hAnsi="宋体" w:eastAsia="彩虹粗仿宋" w:cs="Times New Roman"/>
          <w:snapToGrid w:val="0"/>
          <w:kern w:val="0"/>
          <w:sz w:val="32"/>
          <w:szCs w:val="32"/>
        </w:rPr>
        <w:t>模及覆盖服务网点数量符合我分行要求，按时、保质、保量地完成电子银行服务外包工作。合作期内，日常人员管理由供应商自行开展</w:t>
      </w:r>
      <w:r>
        <w:rPr>
          <w:rFonts w:ascii="彩虹粗仿宋" w:hAnsi="宋体" w:eastAsia="彩虹粗仿宋" w:cs="Times New Roman"/>
          <w:snapToGrid w:val="0"/>
          <w:kern w:val="0"/>
          <w:sz w:val="32"/>
          <w:szCs w:val="32"/>
        </w:rPr>
        <w:t>，</w:t>
      </w:r>
      <w:r>
        <w:rPr>
          <w:rFonts w:hint="eastAsia" w:ascii="彩虹粗仿宋" w:hAnsi="宋体" w:eastAsia="彩虹粗仿宋" w:cs="Times New Roman"/>
          <w:snapToGrid w:val="0"/>
          <w:kern w:val="0"/>
          <w:sz w:val="32"/>
          <w:szCs w:val="32"/>
        </w:rPr>
        <w:t>供应商有义务对所提供的服务按照我分行要求不断调整，以达到服务的不断优化。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彩虹小标宋">
    <w:panose1 w:val="03000509000000000000"/>
    <w:charset w:val="86"/>
    <w:family w:val="script"/>
    <w:pitch w:val="default"/>
    <w:sig w:usb0="00000001" w:usb1="080E0000" w:usb2="00000000" w:usb3="00000000" w:csb0="00040000" w:csb1="00000000"/>
  </w:font>
  <w:font w:name="彩虹粗仿宋">
    <w:panose1 w:val="03000509000000000000"/>
    <w:charset w:val="86"/>
    <w:family w:val="script"/>
    <w:pitch w:val="default"/>
    <w:sig w:usb0="00000001" w:usb1="080E0000" w:usb2="00000000" w:usb3="00000000" w:csb0="00040000" w:csb1="00000000"/>
  </w:font>
  <w:font w:name="彩虹黑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B9"/>
    <w:rsid w:val="00032481"/>
    <w:rsid w:val="00041B2E"/>
    <w:rsid w:val="000503FA"/>
    <w:rsid w:val="00061AB4"/>
    <w:rsid w:val="00074AF9"/>
    <w:rsid w:val="000D545C"/>
    <w:rsid w:val="002219FE"/>
    <w:rsid w:val="00253439"/>
    <w:rsid w:val="00302E9F"/>
    <w:rsid w:val="00310890"/>
    <w:rsid w:val="003476C0"/>
    <w:rsid w:val="003E37C0"/>
    <w:rsid w:val="00426B29"/>
    <w:rsid w:val="00426C2E"/>
    <w:rsid w:val="0046396A"/>
    <w:rsid w:val="00464B1C"/>
    <w:rsid w:val="00483676"/>
    <w:rsid w:val="004C146E"/>
    <w:rsid w:val="0054094A"/>
    <w:rsid w:val="005723DF"/>
    <w:rsid w:val="005A0297"/>
    <w:rsid w:val="005B7F93"/>
    <w:rsid w:val="00611E8D"/>
    <w:rsid w:val="0070232D"/>
    <w:rsid w:val="007A03C5"/>
    <w:rsid w:val="00800EFD"/>
    <w:rsid w:val="008367E0"/>
    <w:rsid w:val="00865BF1"/>
    <w:rsid w:val="008714A0"/>
    <w:rsid w:val="00885A4D"/>
    <w:rsid w:val="008F2864"/>
    <w:rsid w:val="00981C19"/>
    <w:rsid w:val="00982524"/>
    <w:rsid w:val="00A75931"/>
    <w:rsid w:val="00A82E93"/>
    <w:rsid w:val="00B11573"/>
    <w:rsid w:val="00BC73C8"/>
    <w:rsid w:val="00BE4829"/>
    <w:rsid w:val="00C63A51"/>
    <w:rsid w:val="00D71DF8"/>
    <w:rsid w:val="00DA316B"/>
    <w:rsid w:val="00E021BF"/>
    <w:rsid w:val="00E73CB9"/>
    <w:rsid w:val="00EE369D"/>
    <w:rsid w:val="00FC45AA"/>
    <w:rsid w:val="265208DC"/>
    <w:rsid w:val="292B6581"/>
    <w:rsid w:val="409A4D8A"/>
    <w:rsid w:val="58372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197</Words>
  <Characters>1125</Characters>
  <Lines>9</Lines>
  <Paragraphs>2</Paragraphs>
  <TotalTime>15</TotalTime>
  <ScaleCrop>false</ScaleCrop>
  <LinksUpToDate>false</LinksUpToDate>
  <CharactersWithSpaces>1320</CharactersWithSpaces>
  <Application>WPS Office_12.8.2.15209_F1E327BC-269C-435d-A152-05C5408002CA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2024-04-12T06:35:00Z</dcterms:created>
  <dc:creator>Apache POI</dc:creator>
  <cp:lastModifiedBy>Administrator</cp:lastModifiedBy>
  <cp:lastPrinted>2024-04-23T03:08:00Z</cp:lastPrinted>
  <dcterms:modified xsi:type="dcterms:W3CDTF">2024-04-23T03:08:01Z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261F9122E46743DEB3C990EBEA20F0DF_13</vt:lpwstr>
  </property>
</Properties>
</file>