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3" w:firstLineChars="200"/>
        <w:jc w:val="center"/>
        <w:rPr>
          <w:rFonts w:ascii="彩虹小标宋" w:hAnsi="宋体" w:eastAsia="彩虹小标宋" w:cs="Times New Roman"/>
          <w:b/>
          <w:snapToGrid w:val="0"/>
          <w:kern w:val="0"/>
          <w:sz w:val="44"/>
          <w:szCs w:val="44"/>
        </w:rPr>
      </w:pPr>
      <w:r>
        <w:rPr>
          <w:rFonts w:hint="eastAsia" w:ascii="彩虹小标宋" w:hAnsi="宋体" w:eastAsia="彩虹小标宋" w:cs="Times New Roman"/>
          <w:b/>
          <w:snapToGrid w:val="0"/>
          <w:kern w:val="0"/>
          <w:sz w:val="44"/>
          <w:szCs w:val="44"/>
        </w:rPr>
        <w:t>采购需求</w:t>
      </w:r>
    </w:p>
    <w:p>
      <w:pPr>
        <w:spacing w:line="360" w:lineRule="auto"/>
        <w:ind w:firstLine="640" w:firstLineChars="200"/>
        <w:rPr>
          <w:rFonts w:ascii="彩虹粗仿宋" w:hAnsi="宋体" w:eastAsia="彩虹粗仿宋" w:cs="Times New Roman"/>
          <w:snapToGrid w:val="0"/>
          <w:kern w:val="0"/>
          <w:sz w:val="32"/>
          <w:szCs w:val="32"/>
        </w:rPr>
      </w:pP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一、服务供应商要求</w:t>
      </w:r>
    </w:p>
    <w:p>
      <w:pPr>
        <w:pStyle w:val="10"/>
        <w:numPr>
          <w:numId w:val="0"/>
        </w:numPr>
        <w:ind w:leftChars="0" w:firstLine="640" w:firstLineChars="200"/>
        <w:rPr>
          <w:rFonts w:hint="eastAsia" w:ascii="彩虹粗仿宋" w:hAnsi="彩虹粗仿宋" w:eastAsia="彩虹粗仿宋" w:cs="宋体"/>
          <w:kern w:val="0"/>
          <w:sz w:val="32"/>
          <w:szCs w:val="32"/>
          <w:lang w:val="en-US" w:eastAsia="zh-CN" w:bidi="ar-SA"/>
        </w:rPr>
      </w:pPr>
      <w:r>
        <w:rPr>
          <w:rFonts w:hint="eastAsia" w:ascii="彩虹粗仿宋" w:hAnsi="彩虹粗仿宋" w:eastAsia="彩虹粗仿宋" w:cs="宋体"/>
          <w:kern w:val="0"/>
          <w:sz w:val="32"/>
          <w:szCs w:val="32"/>
          <w:lang w:val="en-US" w:eastAsia="zh-CN" w:bidi="ar-SA"/>
        </w:rPr>
        <w:t>1、企业必须是在中华人民共和国境内注册的具有独立承担民事责任能力的法人，注册资本需在1000万元人民币（或等值外币）及以上；</w:t>
      </w:r>
    </w:p>
    <w:p>
      <w:pPr>
        <w:pStyle w:val="10"/>
        <w:numPr>
          <w:ilvl w:val="0"/>
          <w:numId w:val="0"/>
        </w:numPr>
        <w:ind w:leftChars="0" w:firstLine="640" w:firstLineChars="200"/>
        <w:rPr>
          <w:rFonts w:hint="eastAsia" w:ascii="彩虹粗仿宋" w:hAnsi="彩虹粗仿宋" w:eastAsia="彩虹粗仿宋" w:cs="宋体"/>
          <w:kern w:val="0"/>
          <w:sz w:val="32"/>
          <w:szCs w:val="32"/>
          <w:lang w:val="en-US" w:eastAsia="zh-CN" w:bidi="ar-SA"/>
        </w:rPr>
      </w:pPr>
      <w:r>
        <w:rPr>
          <w:rFonts w:hint="eastAsia" w:ascii="彩虹粗仿宋" w:hAnsi="彩虹粗仿宋" w:eastAsia="彩虹粗仿宋" w:cs="宋体"/>
          <w:kern w:val="0"/>
          <w:sz w:val="32"/>
          <w:szCs w:val="32"/>
          <w:lang w:val="en-US" w:eastAsia="zh-CN" w:bidi="ar-SA"/>
        </w:rPr>
        <w:t>2、企业须成立3年及以上，经营状况正常且最近一年净利润为正数；在最近三年内的经营活动中没有行贿犯罪等重大违法记录、未被“信用中国”网列入 “重大税收违法案件当事人名单”、未被“中国执行信息公开网”列入“失信被执行人名单”、未被“中国政府采购网”列入“政府采购严重违法失信行为信息记录名单”、未被“国家企业信用信息公示系统”列入网站“严重违法失信企业名单”；</w:t>
      </w:r>
    </w:p>
    <w:p>
      <w:pPr>
        <w:pStyle w:val="10"/>
        <w:numPr>
          <w:ilvl w:val="0"/>
          <w:numId w:val="0"/>
        </w:numPr>
        <w:ind w:leftChars="0" w:firstLine="640" w:firstLineChars="200"/>
        <w:rPr>
          <w:rFonts w:hint="eastAsia" w:ascii="彩虹粗仿宋" w:hAnsi="彩虹粗仿宋" w:eastAsia="彩虹粗仿宋" w:cs="宋体"/>
          <w:kern w:val="0"/>
          <w:sz w:val="32"/>
          <w:szCs w:val="32"/>
          <w:lang w:val="en-US" w:eastAsia="zh-CN" w:bidi="ar-SA"/>
        </w:rPr>
      </w:pPr>
      <w:r>
        <w:rPr>
          <w:rFonts w:hint="eastAsia" w:ascii="彩虹粗仿宋" w:hAnsi="彩虹粗仿宋" w:eastAsia="彩虹粗仿宋" w:cs="宋体"/>
          <w:kern w:val="0"/>
          <w:sz w:val="32"/>
          <w:szCs w:val="32"/>
          <w:lang w:val="en-US" w:eastAsia="zh-CN" w:bidi="ar-SA"/>
        </w:rPr>
        <w:t>3、能开具增值税专用发票；</w:t>
      </w:r>
    </w:p>
    <w:p>
      <w:pPr>
        <w:pStyle w:val="10"/>
        <w:numPr>
          <w:ilvl w:val="0"/>
          <w:numId w:val="0"/>
        </w:numPr>
        <w:ind w:leftChars="0" w:firstLine="640" w:firstLineChars="200"/>
        <w:rPr>
          <w:rFonts w:hint="eastAsia" w:ascii="彩虹粗仿宋" w:hAnsi="彩虹粗仿宋" w:eastAsia="彩虹粗仿宋" w:cs="宋体"/>
          <w:kern w:val="0"/>
          <w:sz w:val="32"/>
          <w:szCs w:val="32"/>
          <w:lang w:val="en-US" w:eastAsia="zh-CN" w:bidi="ar-SA"/>
        </w:rPr>
      </w:pPr>
      <w:r>
        <w:rPr>
          <w:rFonts w:hint="eastAsia" w:ascii="彩虹粗仿宋" w:hAnsi="彩虹粗仿宋" w:eastAsia="彩虹粗仿宋" w:cs="宋体"/>
          <w:kern w:val="0"/>
          <w:sz w:val="32"/>
          <w:szCs w:val="32"/>
          <w:lang w:val="en-US" w:eastAsia="zh-CN" w:bidi="ar-SA"/>
        </w:rPr>
        <w:t>4、具备信息安全管理体系认证证书等资质；</w:t>
      </w:r>
    </w:p>
    <w:p>
      <w:pPr>
        <w:pStyle w:val="10"/>
        <w:numPr>
          <w:ilvl w:val="0"/>
          <w:numId w:val="0"/>
        </w:numPr>
        <w:ind w:leftChars="0" w:firstLine="640" w:firstLineChars="200"/>
        <w:rPr>
          <w:rFonts w:hint="eastAsia" w:ascii="彩虹粗仿宋" w:hAnsi="彩虹粗仿宋" w:eastAsia="彩虹粗仿宋" w:cs="宋体"/>
          <w:kern w:val="0"/>
          <w:sz w:val="32"/>
          <w:szCs w:val="32"/>
          <w:lang w:val="en-US" w:eastAsia="zh-CN" w:bidi="ar-SA"/>
        </w:rPr>
      </w:pPr>
      <w:r>
        <w:rPr>
          <w:rFonts w:hint="eastAsia" w:ascii="彩虹粗仿宋" w:hAnsi="彩虹粗仿宋" w:eastAsia="彩虹粗仿宋" w:cs="宋体"/>
          <w:kern w:val="0"/>
          <w:sz w:val="32"/>
          <w:szCs w:val="32"/>
          <w:lang w:val="en-US" w:eastAsia="zh-CN" w:bidi="ar-SA"/>
        </w:rPr>
        <w:t>5、企业近3年有银行业开展同类营销活动运营服务合作案例，具有与建行系统内开展同类营销活动运营服务案例的企业优先；</w:t>
      </w:r>
    </w:p>
    <w:p>
      <w:pPr>
        <w:pStyle w:val="10"/>
        <w:numPr>
          <w:ilvl w:val="0"/>
          <w:numId w:val="0"/>
        </w:numPr>
        <w:ind w:leftChars="0" w:firstLine="640" w:firstLineChars="200"/>
        <w:rPr>
          <w:rFonts w:hint="eastAsia" w:ascii="彩虹粗仿宋" w:hAnsi="彩虹粗仿宋" w:eastAsia="彩虹粗仿宋" w:cs="宋体"/>
          <w:kern w:val="0"/>
          <w:sz w:val="32"/>
          <w:szCs w:val="32"/>
          <w:lang w:val="en-US" w:eastAsia="zh-CN" w:bidi="ar-SA"/>
        </w:rPr>
      </w:pPr>
      <w:r>
        <w:rPr>
          <w:rFonts w:hint="eastAsia" w:ascii="彩虹粗仿宋" w:hAnsi="彩虹粗仿宋" w:eastAsia="彩虹粗仿宋" w:cs="宋体"/>
          <w:kern w:val="0"/>
          <w:sz w:val="32"/>
          <w:szCs w:val="32"/>
          <w:lang w:val="en-US" w:eastAsia="zh-CN" w:bidi="ar-SA"/>
        </w:rPr>
        <w:t>6、法定代表人（负责人）为同一人或存在控股、管理关系的不同申请人，不得同时参加本项目（提供承诺函）。</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二、服务品类</w:t>
      </w:r>
    </w:p>
    <w:p>
      <w:pPr>
        <w:pStyle w:val="4"/>
        <w:shd w:val="clear" w:color="auto" w:fill="FFFFFF"/>
        <w:spacing w:before="0" w:beforeAutospacing="0" w:after="0" w:afterAutospacing="0" w:line="645" w:lineRule="atLeast"/>
        <w:ind w:firstLine="480"/>
        <w:rPr>
          <w:rFonts w:ascii="彩虹粗仿宋" w:hAnsi="彩虹粗仿宋" w:eastAsia="彩虹粗仿宋"/>
          <w:sz w:val="32"/>
          <w:szCs w:val="32"/>
        </w:rPr>
      </w:pPr>
      <w:r>
        <w:rPr>
          <w:rFonts w:hint="eastAsia" w:ascii="彩虹粗仿宋" w:hAnsi="Segoe UI" w:eastAsia="彩虹粗仿宋" w:cs="Segoe UI"/>
          <w:color w:val="333333"/>
          <w:sz w:val="32"/>
          <w:szCs w:val="32"/>
        </w:rPr>
        <w:t>1、</w:t>
      </w:r>
      <w:r>
        <w:rPr>
          <w:rFonts w:hint="eastAsia" w:ascii="彩虹粗仿宋" w:hAnsi="彩虹粗仿宋" w:eastAsia="彩虹粗仿宋"/>
          <w:sz w:val="32"/>
          <w:szCs w:val="32"/>
        </w:rPr>
        <w:t>发放优惠券：配合活动方案制定，优惠券及优惠红包发放。</w:t>
      </w:r>
    </w:p>
    <w:tbl>
      <w:tblPr>
        <w:tblStyle w:val="5"/>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4037"/>
        <w:gridCol w:w="3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trPr>
        <w:tc>
          <w:tcPr>
            <w:tcW w:w="1134" w:type="dxa"/>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活动类型 </w:t>
            </w:r>
          </w:p>
        </w:tc>
        <w:tc>
          <w:tcPr>
            <w:tcW w:w="4037" w:type="dxa"/>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活动形式</w:t>
            </w:r>
          </w:p>
        </w:tc>
        <w:tc>
          <w:tcPr>
            <w:tcW w:w="0" w:type="auto"/>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优惠券形式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1134" w:type="dxa"/>
            <w:shd w:val="clear" w:color="auto" w:fill="auto"/>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1.建行生活活动</w:t>
            </w:r>
          </w:p>
        </w:tc>
        <w:tc>
          <w:tcPr>
            <w:tcW w:w="4037"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活动形式包括但不限于平台拉新活动、平台活跃活动、金融转化活动：</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1.平台拉新活动：包括但不限于新人有礼、裂变拼团、邀约大使。</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2.平台活跃活动:包括但不限于限时抢券、好券中心、签到有礼、幸运抽奖、达标有礼活动。</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3.金融转化活动:包括但不限于钱包首单立减、钱包随机减、建行生活卡新客见面礼、建行生活卡随机减、达标月月领好礼、建行生活卡超级积分、CC豆兑换、手机银行兑换码、属地化场景推广、政府消费券、龙卡专享等活动。</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4.微信立减金、数字人民币红包发放等活动。</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5.特色场景推广活动：针对建行生活场景建设开展专项的体验活动，包括且不限于交通出行、生活缴费、商超餐饮、文化旅游、智慧食堂、建融惠学等行内外场景通过优惠券、满减券、定向派券、权益配置等活动引导客户消费体验。</w:t>
            </w:r>
          </w:p>
        </w:tc>
        <w:tc>
          <w:tcPr>
            <w:tcW w:w="0" w:type="auto"/>
            <w:vMerge w:val="restart"/>
            <w:shd w:val="clear" w:color="auto" w:fill="auto"/>
            <w:vAlign w:val="center"/>
          </w:tcPr>
          <w:p>
            <w:pPr>
              <w:pStyle w:val="10"/>
              <w:widowControl/>
              <w:numPr>
                <w:ilvl w:val="0"/>
                <w:numId w:val="1"/>
              </w:numPr>
              <w:ind w:firstLineChars="0"/>
              <w:jc w:val="left"/>
              <w:rPr>
                <w:rFonts w:ascii="宋体" w:hAnsi="宋体" w:eastAsia="宋体" w:cs="宋体"/>
                <w:color w:val="000000"/>
                <w:kern w:val="0"/>
                <w:szCs w:val="21"/>
              </w:rPr>
            </w:pPr>
            <w:r>
              <w:rPr>
                <w:rFonts w:hint="eastAsia" w:ascii="宋体" w:hAnsi="宋体" w:eastAsia="宋体" w:cs="宋体"/>
                <w:color w:val="000000"/>
                <w:kern w:val="0"/>
                <w:szCs w:val="21"/>
              </w:rPr>
              <w:t>折扣券：包括1-9.9折各类型折扣，单笔封顶1-1000元不等。</w:t>
            </w:r>
          </w:p>
          <w:p>
            <w:pPr>
              <w:pStyle w:val="10"/>
              <w:widowControl/>
              <w:ind w:left="360" w:firstLine="0" w:firstLineChars="0"/>
              <w:jc w:val="left"/>
              <w:rPr>
                <w:rFonts w:ascii="宋体" w:hAnsi="宋体" w:eastAsia="宋体" w:cs="宋体"/>
                <w:color w:val="000000"/>
                <w:kern w:val="0"/>
                <w:szCs w:val="21"/>
              </w:rPr>
            </w:pPr>
          </w:p>
          <w:p>
            <w:pPr>
              <w:pStyle w:val="10"/>
              <w:widowControl/>
              <w:numPr>
                <w:ilvl w:val="0"/>
                <w:numId w:val="1"/>
              </w:numPr>
              <w:ind w:firstLineChars="0"/>
              <w:jc w:val="left"/>
              <w:rPr>
                <w:rFonts w:ascii="宋体" w:hAnsi="宋体" w:eastAsia="宋体" w:cs="宋体"/>
                <w:color w:val="000000"/>
                <w:kern w:val="0"/>
                <w:szCs w:val="21"/>
              </w:rPr>
            </w:pPr>
            <w:r>
              <w:rPr>
                <w:rFonts w:hint="eastAsia" w:ascii="宋体" w:hAnsi="宋体" w:eastAsia="宋体" w:cs="宋体"/>
                <w:color w:val="000000"/>
                <w:kern w:val="0"/>
                <w:szCs w:val="21"/>
              </w:rPr>
              <w:t>满减券（信用卡专享、嗨GO商圈、美食好券、厦门心意礼包等）。满A元减B元（其中A&gt;B&gt;0），根据活动形式灵活调整。</w:t>
            </w:r>
          </w:p>
          <w:p>
            <w:pPr>
              <w:pStyle w:val="10"/>
              <w:rPr>
                <w:rFonts w:ascii="宋体" w:hAnsi="宋体" w:eastAsia="宋体" w:cs="宋体"/>
                <w:color w:val="000000"/>
                <w:kern w:val="0"/>
                <w:szCs w:val="21"/>
              </w:rPr>
            </w:pPr>
          </w:p>
          <w:p>
            <w:pPr>
              <w:pStyle w:val="10"/>
              <w:widowControl/>
              <w:ind w:left="360" w:firstLine="0" w:firstLineChars="0"/>
              <w:jc w:val="left"/>
              <w:rPr>
                <w:rFonts w:ascii="宋体" w:hAnsi="宋体" w:eastAsia="宋体" w:cs="宋体"/>
                <w:color w:val="000000"/>
                <w:kern w:val="0"/>
                <w:szCs w:val="21"/>
              </w:rPr>
            </w:pPr>
          </w:p>
          <w:p>
            <w:pPr>
              <w:pStyle w:val="10"/>
              <w:widowControl/>
              <w:numPr>
                <w:ilvl w:val="0"/>
                <w:numId w:val="1"/>
              </w:numPr>
              <w:ind w:firstLineChars="0"/>
              <w:jc w:val="left"/>
              <w:rPr>
                <w:rFonts w:ascii="宋体" w:hAnsi="宋体" w:eastAsia="宋体" w:cs="宋体"/>
                <w:color w:val="000000"/>
                <w:kern w:val="0"/>
                <w:szCs w:val="21"/>
              </w:rPr>
            </w:pPr>
            <w:r>
              <w:rPr>
                <w:rFonts w:hint="eastAsia" w:ascii="宋体" w:hAnsi="宋体" w:eastAsia="宋体" w:cs="宋体"/>
                <w:color w:val="000000"/>
                <w:kern w:val="0"/>
                <w:szCs w:val="21"/>
              </w:rPr>
              <w:t>有价券（代金券、团餐、特定门店专属等）：A元购B元（其中0&lt;A&lt;B）, 根据活动形式灵活调整。</w:t>
            </w:r>
          </w:p>
          <w:p>
            <w:pPr>
              <w:pStyle w:val="10"/>
              <w:widowControl/>
              <w:ind w:left="360" w:firstLine="0" w:firstLineChars="0"/>
              <w:jc w:val="left"/>
              <w:rPr>
                <w:rFonts w:ascii="宋体" w:hAnsi="宋体" w:eastAsia="宋体" w:cs="宋体"/>
                <w:color w:val="000000"/>
                <w:kern w:val="0"/>
                <w:szCs w:val="21"/>
              </w:rPr>
            </w:pPr>
          </w:p>
          <w:p>
            <w:pPr>
              <w:pStyle w:val="10"/>
              <w:widowControl/>
              <w:numPr>
                <w:ilvl w:val="0"/>
                <w:numId w:val="1"/>
              </w:numPr>
              <w:ind w:firstLineChars="0"/>
              <w:jc w:val="left"/>
              <w:rPr>
                <w:rFonts w:ascii="宋体" w:hAnsi="宋体" w:eastAsia="宋体" w:cs="宋体"/>
                <w:color w:val="000000"/>
                <w:kern w:val="0"/>
                <w:szCs w:val="21"/>
              </w:rPr>
            </w:pPr>
            <w:r>
              <w:rPr>
                <w:rFonts w:hint="eastAsia" w:ascii="宋体" w:hAnsi="宋体" w:eastAsia="宋体" w:cs="宋体"/>
                <w:color w:val="000000"/>
                <w:kern w:val="0"/>
                <w:szCs w:val="21"/>
              </w:rPr>
              <w:t>数字人民币红包：1-100元红包不等。</w:t>
            </w:r>
          </w:p>
          <w:p>
            <w:pPr>
              <w:pStyle w:val="10"/>
              <w:widowControl/>
              <w:ind w:left="360" w:firstLine="0" w:firstLineChars="0"/>
              <w:jc w:val="left"/>
              <w:rPr>
                <w:rFonts w:ascii="宋体" w:hAnsi="宋体" w:eastAsia="宋体" w:cs="宋体"/>
                <w:color w:val="000000"/>
                <w:kern w:val="0"/>
                <w:szCs w:val="21"/>
              </w:rPr>
            </w:pPr>
          </w:p>
          <w:p>
            <w:pPr>
              <w:pStyle w:val="10"/>
              <w:widowControl/>
              <w:numPr>
                <w:ilvl w:val="0"/>
                <w:numId w:val="1"/>
              </w:numPr>
              <w:ind w:firstLineChars="0"/>
              <w:jc w:val="left"/>
              <w:rPr>
                <w:rFonts w:ascii="宋体" w:hAnsi="宋体" w:eastAsia="宋体" w:cs="宋体"/>
                <w:color w:val="000000"/>
                <w:kern w:val="0"/>
                <w:szCs w:val="21"/>
              </w:rPr>
            </w:pPr>
            <w:r>
              <w:rPr>
                <w:rFonts w:hint="eastAsia" w:ascii="宋体" w:hAnsi="宋体" w:eastAsia="宋体" w:cs="宋体"/>
                <w:color w:val="000000"/>
                <w:kern w:val="0"/>
                <w:szCs w:val="21"/>
              </w:rPr>
              <w:t>随机立减：数字人民币随机立减金1-999元不等。</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1134" w:type="dxa"/>
            <w:shd w:val="clear" w:color="auto" w:fill="auto"/>
            <w:vAlign w:val="center"/>
          </w:tcPr>
          <w:p>
            <w:pPr>
              <w:widowControl/>
              <w:rPr>
                <w:rFonts w:ascii="宋体" w:hAnsi="宋体" w:eastAsia="宋体" w:cs="宋体"/>
                <w:b/>
                <w:bCs/>
                <w:color w:val="000000"/>
                <w:kern w:val="0"/>
                <w:szCs w:val="21"/>
              </w:rPr>
            </w:pPr>
            <w:r>
              <w:rPr>
                <w:rFonts w:hint="eastAsia" w:ascii="宋体" w:hAnsi="宋体" w:eastAsia="宋体" w:cs="宋体"/>
                <w:b/>
                <w:bCs/>
                <w:color w:val="000000"/>
                <w:kern w:val="0"/>
                <w:szCs w:val="21"/>
              </w:rPr>
              <w:t>2.数字人民币活动</w:t>
            </w:r>
          </w:p>
        </w:tc>
        <w:tc>
          <w:tcPr>
            <w:tcW w:w="4037"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活动形式包括但不限于平台拉新活动、特色场景推广活动、商户促活活动：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平台拉新活动：主要依托建行生活、手机银行“双子星”平台，通过新人礼、优惠券、随机立减、消费达标赠券等活动模式，结合定向派券工具、钱包开立牌“即开即送优惠券”工具，持续进行个人钱包拉新、消费交易促活。</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特色场景推广活动：针对数币受理场景建设开展专项的消费体验活动，包括且不限于交通出行、生活缴费、商超餐饮、文化旅游、智慧食堂等行内外场景通过优惠券、满减券、数字人民币红包、定向派券、权益配置等活动引导客户消费体验。</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3.定向客群活动：针对指定用户，发放数字人民币红包等。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4.拉新促活活动：通过随机减、满减券、红包等活动进行拉新促活。</w:t>
            </w:r>
          </w:p>
        </w:tc>
        <w:tc>
          <w:tcPr>
            <w:tcW w:w="0" w:type="auto"/>
            <w:vMerge w:val="continue"/>
            <w:shd w:val="clear" w:color="auto" w:fill="auto"/>
            <w:vAlign w:val="center"/>
          </w:tcPr>
          <w:p>
            <w:pPr>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1134" w:type="dxa"/>
            <w:shd w:val="clear" w:color="auto" w:fill="auto"/>
            <w:vAlign w:val="center"/>
          </w:tcPr>
          <w:p>
            <w:pPr>
              <w:widowControl/>
              <w:rPr>
                <w:rFonts w:ascii="宋体" w:hAnsi="宋体" w:eastAsia="宋体" w:cs="宋体"/>
                <w:b/>
                <w:bCs/>
                <w:color w:val="000000"/>
                <w:kern w:val="0"/>
                <w:szCs w:val="21"/>
              </w:rPr>
            </w:pPr>
            <w:r>
              <w:rPr>
                <w:rFonts w:hint="eastAsia" w:ascii="宋体" w:hAnsi="宋体" w:eastAsia="宋体" w:cs="宋体"/>
                <w:b/>
                <w:bCs/>
                <w:color w:val="000000"/>
                <w:kern w:val="0"/>
                <w:szCs w:val="21"/>
              </w:rPr>
              <w:t>3.与其他部门合作活动</w:t>
            </w:r>
          </w:p>
        </w:tc>
        <w:tc>
          <w:tcPr>
            <w:tcW w:w="4037"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活动形式包括但不限于平台拉新活动、平台活跃活动、金融转化活动：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1.平台拉新活动：包括但不限于新人客按揭有礼、建易贷新客有礼住房租贷有礼。</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2.平台活跃活动:包括但不限于限时抢券、好券中心、签到有礼、幸运抽奖、达标有礼活动。</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3.金融转化活动:包括但不限于钱包首单立减、钱包随机减、建行生活卡新客见面礼、建行生活卡随机减、达标月月领好礼、建行生活卡超级积分、CC豆兑换、手机银行兑换码、龙卡专享、属地化场景推广等活动。</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4.微信立减金、数字人民币红包、信用卡满减券发放等活动。</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5.特色场景推广活动：针对建行生活场景建设开展专项的体验活动，包括且不限于交通出行、生活缴费、商超餐饮、文化旅游、智慧食堂、建融惠学等行内外场景通过优惠券、满减券、定向派券、权益配置等活动引导客户消费体验。</w:t>
            </w:r>
          </w:p>
        </w:tc>
        <w:tc>
          <w:tcPr>
            <w:tcW w:w="0" w:type="auto"/>
            <w:vMerge w:val="continue"/>
            <w:shd w:val="clear" w:color="auto" w:fill="auto"/>
            <w:vAlign w:val="center"/>
          </w:tcPr>
          <w:p>
            <w:pPr>
              <w:widowControl/>
              <w:jc w:val="left"/>
              <w:rPr>
                <w:rFonts w:ascii="宋体" w:hAnsi="宋体" w:eastAsia="宋体" w:cs="宋体"/>
                <w:color w:val="000000"/>
                <w:kern w:val="0"/>
                <w:szCs w:val="21"/>
              </w:rPr>
            </w:pPr>
          </w:p>
        </w:tc>
      </w:tr>
    </w:tbl>
    <w:p>
      <w:pPr>
        <w:pStyle w:val="4"/>
        <w:shd w:val="clear" w:color="auto" w:fill="FFFFFF"/>
        <w:spacing w:before="0" w:beforeAutospacing="0" w:after="0" w:afterAutospacing="0" w:line="645" w:lineRule="atLeast"/>
        <w:ind w:firstLine="480"/>
        <w:rPr>
          <w:rFonts w:ascii="彩虹粗仿宋" w:hAnsi="彩虹粗仿宋" w:eastAsia="彩虹粗仿宋"/>
          <w:sz w:val="32"/>
          <w:szCs w:val="32"/>
        </w:rPr>
      </w:pPr>
      <w:r>
        <w:rPr>
          <w:rFonts w:hint="eastAsia" w:ascii="彩虹粗仿宋" w:hAnsi="Segoe UI" w:eastAsia="彩虹粗仿宋" w:cs="Segoe UI"/>
          <w:color w:val="333333"/>
          <w:sz w:val="32"/>
          <w:szCs w:val="32"/>
        </w:rPr>
        <w:t>2、</w:t>
      </w:r>
      <w:r>
        <w:rPr>
          <w:rFonts w:hint="eastAsia" w:ascii="彩虹粗仿宋" w:hAnsi="彩虹粗仿宋" w:eastAsia="彩虹粗仿宋"/>
          <w:sz w:val="32"/>
          <w:szCs w:val="32"/>
        </w:rPr>
        <w:t>商户沟通：营销活动商户沟通、培训。</w:t>
      </w:r>
    </w:p>
    <w:p>
      <w:pPr>
        <w:pStyle w:val="4"/>
        <w:shd w:val="clear" w:color="auto" w:fill="FFFFFF"/>
        <w:spacing w:before="0" w:beforeAutospacing="0" w:after="0" w:afterAutospacing="0" w:line="645" w:lineRule="atLeast"/>
        <w:ind w:firstLine="480"/>
        <w:rPr>
          <w:rFonts w:ascii="彩虹粗仿宋" w:hAnsi="彩虹粗仿宋" w:eastAsia="彩虹粗仿宋"/>
          <w:sz w:val="32"/>
          <w:szCs w:val="32"/>
        </w:rPr>
      </w:pPr>
      <w:r>
        <w:rPr>
          <w:rFonts w:hint="eastAsia" w:ascii="彩虹粗仿宋" w:hAnsi="彩虹粗仿宋" w:eastAsia="彩虹粗仿宋"/>
          <w:sz w:val="32"/>
          <w:szCs w:val="32"/>
        </w:rPr>
        <w:t>3、资金清算：营销活动优惠资金的对帐与清算。</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三、服务内容</w:t>
      </w:r>
    </w:p>
    <w:p>
      <w:pPr>
        <w:spacing w:line="580" w:lineRule="exact"/>
        <w:ind w:firstLine="716" w:firstLineChars="224"/>
        <w:rPr>
          <w:rFonts w:ascii="彩虹粗仿宋" w:hAnsi="彩虹粗仿宋" w:eastAsia="彩虹粗仿宋" w:cs="宋体"/>
          <w:kern w:val="0"/>
          <w:sz w:val="32"/>
          <w:szCs w:val="32"/>
        </w:rPr>
      </w:pPr>
      <w:r>
        <w:rPr>
          <w:rFonts w:hint="eastAsia" w:ascii="彩虹粗仿宋" w:hAnsi="彩虹粗仿宋" w:eastAsia="彩虹粗仿宋" w:cs="宋体"/>
          <w:kern w:val="0"/>
          <w:sz w:val="32"/>
          <w:szCs w:val="32"/>
        </w:rPr>
        <w:t>（一）发放营销活动优惠券，并做好营销活动执行与监测。包括在每期营销活动开展前准备好营销费用，配合我行拟定营销活动方案，通过自有渠道协助活动宣传扩大活动效果，动态监测活动费用投放进度并提出合理优化建议。</w:t>
      </w:r>
    </w:p>
    <w:p>
      <w:pPr>
        <w:spacing w:line="580" w:lineRule="exact"/>
        <w:ind w:firstLine="640" w:firstLineChars="200"/>
        <w:rPr>
          <w:rFonts w:ascii="彩虹粗仿宋" w:hAnsi="彩虹粗仿宋" w:eastAsia="彩虹粗仿宋" w:cs="宋体"/>
          <w:kern w:val="0"/>
          <w:sz w:val="32"/>
          <w:szCs w:val="32"/>
        </w:rPr>
      </w:pPr>
      <w:r>
        <w:rPr>
          <w:rFonts w:hint="eastAsia" w:ascii="彩虹粗仿宋" w:hAnsi="彩虹粗仿宋" w:eastAsia="彩虹粗仿宋" w:cs="宋体"/>
          <w:kern w:val="0"/>
          <w:sz w:val="32"/>
          <w:szCs w:val="32"/>
        </w:rPr>
        <w:t>（二）做好营销活动的宣传和商户培训，处理和解决商户营销活动执行过程中产生的各类问题。</w:t>
      </w:r>
    </w:p>
    <w:p>
      <w:pPr>
        <w:pStyle w:val="4"/>
        <w:spacing w:before="75" w:beforeAutospacing="0" w:after="75" w:afterAutospacing="0" w:line="495" w:lineRule="atLeast"/>
        <w:ind w:firstLine="645"/>
        <w:rPr>
          <w:rFonts w:ascii="彩虹粗仿宋" w:hAnsi="彩虹粗仿宋" w:eastAsia="彩虹粗仿宋"/>
          <w:sz w:val="32"/>
          <w:szCs w:val="32"/>
        </w:rPr>
      </w:pPr>
      <w:r>
        <w:rPr>
          <w:rFonts w:hint="eastAsia" w:ascii="彩虹粗仿宋" w:hAnsi="彩虹粗仿宋" w:eastAsia="彩虹粗仿宋"/>
          <w:sz w:val="32"/>
          <w:szCs w:val="32"/>
        </w:rPr>
        <w:t>（三）做好商户对账及差错处理，并按要求完成营销活动优惠券资金对账和清算执行。</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四、服务团队</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粗仿宋" w:hAnsi="微软雅黑" w:eastAsia="彩虹粗仿宋" w:cs="Segoe UI"/>
          <w:color w:val="333333"/>
          <w:sz w:val="32"/>
          <w:szCs w:val="32"/>
        </w:rPr>
        <w:t>服务供应商具有与其业务范围相适应的服务人员和管理人员，具有与其业务范围相适应的固定的经营场所、一定数量的设备、设施，具备相应的产品供货能力。</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五、服务质量要求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1、服务供应商按照本合同约定的服务内容和服务要求按时向我行提供合格的服务；服务期内服务供应商有义务对所提供的服务按照我行要求不断调整，以达到服务的优化。</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2、信息保密方面。服务供应商应严守我行的商业秘密、技术秘密、客户信息和其他商业及业务信息，不得泄露。</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六、服务供应安排</w:t>
      </w:r>
    </w:p>
    <w:p>
      <w:pPr>
        <w:spacing w:line="560" w:lineRule="exact"/>
        <w:ind w:firstLine="640" w:firstLineChars="200"/>
        <w:rPr>
          <w:rFonts w:ascii="彩虹粗仿宋" w:hAnsi="宋体" w:eastAsia="彩虹粗仿宋"/>
          <w:snapToGrid w:val="0"/>
          <w:color w:val="000000" w:themeColor="text1"/>
          <w:kern w:val="0"/>
          <w:sz w:val="32"/>
          <w:szCs w:val="32"/>
          <w14:textFill>
            <w14:solidFill>
              <w14:schemeClr w14:val="tx1"/>
            </w14:solidFill>
          </w14:textFill>
        </w:rPr>
      </w:pPr>
      <w:r>
        <w:rPr>
          <w:rFonts w:hint="eastAsia" w:ascii="彩虹粗仿宋" w:hAnsi="宋体" w:eastAsia="彩虹粗仿宋"/>
          <w:snapToGrid w:val="0"/>
          <w:color w:val="000000" w:themeColor="text1"/>
          <w:kern w:val="0"/>
          <w:sz w:val="32"/>
          <w:szCs w:val="32"/>
          <w14:textFill>
            <w14:solidFill>
              <w14:schemeClr w14:val="tx1"/>
            </w14:solidFill>
          </w14:textFill>
        </w:rPr>
        <w:t>1</w:t>
      </w:r>
      <w:r>
        <w:rPr>
          <w:rFonts w:ascii="彩虹粗仿宋" w:hAnsi="宋体" w:eastAsia="彩虹粗仿宋"/>
          <w:snapToGrid w:val="0"/>
          <w:color w:val="000000" w:themeColor="text1"/>
          <w:kern w:val="0"/>
          <w:sz w:val="32"/>
          <w:szCs w:val="32"/>
          <w14:textFill>
            <w14:solidFill>
              <w14:schemeClr w14:val="tx1"/>
            </w14:solidFill>
          </w14:textFill>
        </w:rPr>
        <w:t>.</w:t>
      </w:r>
      <w:r>
        <w:rPr>
          <w:rFonts w:hint="eastAsia" w:ascii="彩虹粗仿宋" w:hAnsi="宋体" w:eastAsia="彩虹粗仿宋"/>
          <w:snapToGrid w:val="0"/>
          <w:color w:val="000000" w:themeColor="text1"/>
          <w:kern w:val="0"/>
          <w:sz w:val="32"/>
          <w:szCs w:val="32"/>
          <w14:textFill>
            <w14:solidFill>
              <w14:schemeClr w14:val="tx1"/>
            </w14:solidFill>
          </w14:textFill>
        </w:rPr>
        <w:t>活动开展前，配合我方完成活动方案制定及优惠券发放的申请。需要时做好参加活动商户的沟通工作。</w:t>
      </w:r>
    </w:p>
    <w:p>
      <w:pPr>
        <w:spacing w:line="560" w:lineRule="exact"/>
        <w:ind w:firstLine="640" w:firstLineChars="200"/>
        <w:rPr>
          <w:rFonts w:ascii="彩虹粗仿宋" w:hAnsi="彩虹粗仿宋" w:eastAsia="彩虹粗仿宋" w:cs="宋体"/>
          <w:kern w:val="0"/>
          <w:sz w:val="32"/>
          <w:szCs w:val="32"/>
        </w:rPr>
      </w:pPr>
      <w:r>
        <w:rPr>
          <w:rFonts w:hint="eastAsia" w:ascii="彩虹粗仿宋" w:hAnsi="宋体" w:eastAsia="彩虹粗仿宋"/>
          <w:snapToGrid w:val="0"/>
          <w:color w:val="000000" w:themeColor="text1"/>
          <w:kern w:val="0"/>
          <w:sz w:val="32"/>
          <w:szCs w:val="32"/>
          <w14:textFill>
            <w14:solidFill>
              <w14:schemeClr w14:val="tx1"/>
            </w14:solidFill>
          </w14:textFill>
        </w:rPr>
        <w:t>2. 活动开展时，可通过</w:t>
      </w:r>
      <w:r>
        <w:rPr>
          <w:rFonts w:hint="eastAsia" w:ascii="彩虹粗仿宋" w:hAnsi="彩虹粗仿宋" w:eastAsia="彩虹粗仿宋" w:cs="宋体"/>
          <w:kern w:val="0"/>
          <w:sz w:val="32"/>
          <w:szCs w:val="32"/>
        </w:rPr>
        <w:t>自有渠道协助活动宣传，监测活动费用投放进度并提出合理优化建议。协助处理商户营销活动执行过程中产生的问题。</w:t>
      </w:r>
    </w:p>
    <w:p>
      <w:pPr>
        <w:spacing w:line="560" w:lineRule="exact"/>
        <w:ind w:firstLine="640" w:firstLineChars="200"/>
        <w:rPr>
          <w:rFonts w:ascii="彩虹粗仿宋" w:hAnsi="彩虹粗仿宋" w:eastAsia="彩虹粗仿宋" w:cs="宋体"/>
          <w:kern w:val="0"/>
          <w:sz w:val="32"/>
          <w:szCs w:val="32"/>
        </w:rPr>
      </w:pPr>
      <w:r>
        <w:rPr>
          <w:rFonts w:hint="eastAsia" w:ascii="彩虹粗仿宋" w:hAnsi="宋体" w:eastAsia="彩虹粗仿宋"/>
          <w:snapToGrid w:val="0"/>
          <w:color w:val="000000" w:themeColor="text1"/>
          <w:kern w:val="0"/>
          <w:sz w:val="32"/>
          <w:szCs w:val="32"/>
          <w14:textFill>
            <w14:solidFill>
              <w14:schemeClr w14:val="tx1"/>
            </w14:solidFill>
          </w14:textFill>
        </w:rPr>
        <w:t>3. 活动结束后，及时开展活动</w:t>
      </w:r>
      <w:r>
        <w:rPr>
          <w:rFonts w:hint="eastAsia" w:ascii="彩虹粗仿宋" w:hAnsi="彩虹粗仿宋" w:eastAsia="彩虹粗仿宋"/>
          <w:sz w:val="32"/>
          <w:szCs w:val="32"/>
        </w:rPr>
        <w:t>优惠券资金对账和清算，向我行反馈对账和清算结果</w:t>
      </w:r>
      <w:r>
        <w:rPr>
          <w:rFonts w:hint="eastAsia" w:ascii="彩虹粗仿宋" w:hAnsi="彩虹粗仿宋" w:eastAsia="彩虹粗仿宋" w:cs="宋体"/>
          <w:kern w:val="0"/>
          <w:sz w:val="32"/>
          <w:szCs w:val="32"/>
        </w:rPr>
        <w:t>。</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七、款项支付要求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建行生活”与“数字人民币”优惠券、红包等是根据不同的活动进行发放，无法提前确定或预估标的数量，故须中标供应商同意按签定框架合同约定的履约标准据实发放后，再根据具体活动的约定在项目周期中定期结算或在项目结束后一次性结算。</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八、售后服务要求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根据服务供应需求，对服务供应在履行合同过程中出现的产品质量、客户或商户投诉等问题，服务供应商应及时响应、协调、沟通，解决相关问题，事后还需跟踪与检查，确保服务质量。</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九、报价要求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无</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十、其他要求</w:t>
      </w:r>
    </w:p>
    <w:p>
      <w:pPr>
        <w:spacing w:line="360" w:lineRule="auto"/>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1、具备一定的系统开发能力和数据处理能力，能够在需要时进行双方系统对接。</w:t>
      </w:r>
    </w:p>
    <w:p>
      <w:pPr>
        <w:spacing w:line="360" w:lineRule="auto"/>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2</w:t>
      </w:r>
      <w:bookmarkStart w:id="0" w:name="_GoBack"/>
      <w:bookmarkEnd w:id="0"/>
      <w:r>
        <w:rPr>
          <w:rFonts w:hint="eastAsia" w:ascii="彩虹粗仿宋" w:hAnsi="宋体" w:eastAsia="彩虹粗仿宋" w:cs="Times New Roman"/>
          <w:snapToGrid w:val="0"/>
          <w:kern w:val="0"/>
          <w:sz w:val="32"/>
          <w:szCs w:val="32"/>
        </w:rPr>
        <w:t>、能够在需要时提供T+0、T+1的清算与对账。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彩虹黑体">
    <w:panose1 w:val="03000509000000000000"/>
    <w:charset w:val="86"/>
    <w:family w:val="script"/>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A044C"/>
    <w:multiLevelType w:val="multilevel"/>
    <w:tmpl w:val="0A8A044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B9"/>
    <w:rsid w:val="00016AEB"/>
    <w:rsid w:val="00086DA4"/>
    <w:rsid w:val="000B5C45"/>
    <w:rsid w:val="000B67EB"/>
    <w:rsid w:val="000E7876"/>
    <w:rsid w:val="000F00C7"/>
    <w:rsid w:val="00112CA4"/>
    <w:rsid w:val="00155A37"/>
    <w:rsid w:val="001977B1"/>
    <w:rsid w:val="001D49C0"/>
    <w:rsid w:val="001E436C"/>
    <w:rsid w:val="00202060"/>
    <w:rsid w:val="00241F06"/>
    <w:rsid w:val="002B3FC3"/>
    <w:rsid w:val="002B610B"/>
    <w:rsid w:val="002C7658"/>
    <w:rsid w:val="00311961"/>
    <w:rsid w:val="00321D95"/>
    <w:rsid w:val="0043538E"/>
    <w:rsid w:val="00444B67"/>
    <w:rsid w:val="00483676"/>
    <w:rsid w:val="005723DF"/>
    <w:rsid w:val="005C4951"/>
    <w:rsid w:val="005D1D74"/>
    <w:rsid w:val="005E35B5"/>
    <w:rsid w:val="0062736D"/>
    <w:rsid w:val="006645FA"/>
    <w:rsid w:val="0070232D"/>
    <w:rsid w:val="00734A26"/>
    <w:rsid w:val="00734C6F"/>
    <w:rsid w:val="007F53A5"/>
    <w:rsid w:val="007F6140"/>
    <w:rsid w:val="007F6D88"/>
    <w:rsid w:val="00855AEA"/>
    <w:rsid w:val="00870477"/>
    <w:rsid w:val="008D5BE6"/>
    <w:rsid w:val="008F6AA4"/>
    <w:rsid w:val="00966014"/>
    <w:rsid w:val="00A1583A"/>
    <w:rsid w:val="00A41498"/>
    <w:rsid w:val="00A82E93"/>
    <w:rsid w:val="00B71BB6"/>
    <w:rsid w:val="00B72F6D"/>
    <w:rsid w:val="00B8313C"/>
    <w:rsid w:val="00B84FDC"/>
    <w:rsid w:val="00C22BBB"/>
    <w:rsid w:val="00C36E16"/>
    <w:rsid w:val="00CC140A"/>
    <w:rsid w:val="00CD1CB8"/>
    <w:rsid w:val="00D732A4"/>
    <w:rsid w:val="00DE1F48"/>
    <w:rsid w:val="00DE4BFD"/>
    <w:rsid w:val="00E73CB9"/>
    <w:rsid w:val="00F91A54"/>
    <w:rsid w:val="00F973F5"/>
    <w:rsid w:val="00FB0D5B"/>
    <w:rsid w:val="00FB249C"/>
    <w:rsid w:val="00FD1437"/>
    <w:rsid w:val="43190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semiHidden/>
    <w:uiPriority w:val="0"/>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361</Words>
  <Characters>2061</Characters>
  <Lines>17</Lines>
  <Paragraphs>4</Paragraphs>
  <TotalTime>1</TotalTime>
  <ScaleCrop>false</ScaleCrop>
  <LinksUpToDate>false</LinksUpToDate>
  <CharactersWithSpaces>2418</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2023-08-16T02:19:00Z</dcterms:created>
  <dc:creator>Apache POI</dc:creator>
  <cp:lastModifiedBy>Administrator</cp:lastModifiedBy>
  <dcterms:modified xsi:type="dcterms:W3CDTF">2024-09-25T07:06:42Z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0C32542FA24246038E3336F36F19F3BD_12</vt:lpwstr>
  </property>
</Properties>
</file>