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ascii="彩虹小标宋" w:hAnsi="宋体" w:eastAsia="彩虹小标宋" w:cs="Times New Roman"/>
          <w:b/>
          <w:snapToGrid w:val="0"/>
          <w:kern w:val="0"/>
          <w:sz w:val="44"/>
          <w:szCs w:val="44"/>
        </w:rPr>
      </w:pPr>
      <w:r>
        <w:rPr>
          <w:rFonts w:hint="eastAsia" w:ascii="彩虹小标宋" w:hAnsi="宋体" w:eastAsia="彩虹小标宋" w:cs="Times New Roman"/>
          <w:b/>
          <w:snapToGrid w:val="0"/>
          <w:kern w:val="0"/>
          <w:sz w:val="44"/>
          <w:szCs w:val="44"/>
        </w:rPr>
        <w:t>采购需求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一、服务供应商要求</w:t>
      </w:r>
    </w:p>
    <w:p>
      <w:pPr>
        <w:spacing w:line="360" w:lineRule="auto"/>
        <w:ind w:firstLine="640" w:firstLineChars="200"/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val="en-US" w:eastAsia="zh-CN"/>
        </w:rPr>
        <w:t>具有厦门轮渡船舶和屿见厦门海上游船舶鹭江之星号的广告投放</w:t>
      </w:r>
      <w:r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eastAsia="zh-CN"/>
        </w:rPr>
        <w:t>运营</w:t>
      </w:r>
      <w:r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val="en-US" w:eastAsia="zh-CN"/>
        </w:rPr>
        <w:t>资质。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二、服务品类</w:t>
      </w:r>
    </w:p>
    <w:p>
      <w:pPr>
        <w:spacing w:line="360" w:lineRule="auto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交通工具类广告投放服务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三、服务内容</w:t>
      </w:r>
    </w:p>
    <w:p>
      <w:pPr>
        <w:spacing w:line="360" w:lineRule="auto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2艘海上船舶的广告投放，1艘为鼓浪屿渡轮（轮渡20号），1艘为海上游船舶（鹭江之星）。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四、服务团队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要求有专门的服务团队配合我行的广告投放。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五、服务质量要求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1、按我行要求制作投放广告；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2、保障我行广告投放的时效性和投放质量。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六、服务数量要求</w:t>
      </w:r>
    </w:p>
    <w:p>
      <w:pPr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具体船舶画面及相应的媒体资源如下：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3896360" cy="2129790"/>
            <wp:effectExtent l="0" t="0" r="889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（鼓浪屿渡轮）</w:t>
      </w:r>
    </w:p>
    <w:tbl>
      <w:tblPr>
        <w:tblStyle w:val="2"/>
        <w:tblW w:w="8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166"/>
        <w:gridCol w:w="2385"/>
        <w:gridCol w:w="1767"/>
        <w:gridCol w:w="81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媒体位置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媒体形式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媒体设备尺寸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船身两侧边栏杆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无纺布喷绘更换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950*120.5cm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2楼船尾灯箱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发光灯箱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720*120cm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船顶发光字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发光字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550*100cm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塑料椅子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椅子美化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36.5*39.5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拉手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亚克力+铜版纸打印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17*9cm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4117975" cy="1761490"/>
            <wp:effectExtent l="0" t="0" r="15875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（海上游船舶）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28"/>
        <w:gridCol w:w="1732"/>
        <w:gridCol w:w="109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媒体位置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媒体形式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媒体设备尺寸（cm）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二楼吧台正面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正面亚克力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背面框架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桌面三面台牌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可转亚克力牌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一楼玻璃腰条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高精玻璃贴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126*20*2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条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175*20*9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条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104*20*2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二楼玻璃美化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高精玻璃贴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200*20*2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175*20*4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174*20*4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164*20*2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125*20*2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104*20*2</w:t>
            </w:r>
            <w:r>
              <w:rPr>
                <w:rStyle w:val="7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三楼地贴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高精度UV车贴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圆Φ200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船顶层两侧边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不锈钢发光字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三</w:t>
            </w:r>
            <w:r>
              <w:rPr>
                <w:rStyle w:val="9"/>
                <w:rFonts w:hint="eastAsia" w:ascii="微软雅黑" w:hAnsi="微软雅黑" w:eastAsia="微软雅黑" w:cs="微软雅黑"/>
                <w:sz w:val="22"/>
                <w:szCs w:val="22"/>
                <w:lang w:val="en-US" w:eastAsia="zh-CN" w:bidi="ar"/>
              </w:rPr>
              <w:t>楼楼梯栏杆灯箱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306*75</w:t>
            </w:r>
          </w:p>
        </w:tc>
      </w:tr>
    </w:tbl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七、服务供应安排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配合我行制作并在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按要求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投放。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八、款项支付要求</w:t>
      </w:r>
    </w:p>
    <w:p>
      <w:pPr>
        <w:ind w:firstLine="600" w:firstLineChars="200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合同款项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支付形式为合同签定后</w:t>
      </w: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且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广告</w:t>
      </w: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上刊后，供应商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提供正式发票后10个工作日内支付</w:t>
      </w: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合同总金额的一半</w:t>
      </w:r>
      <w:r>
        <w:rPr>
          <w:rFonts w:hint="eastAsia" w:ascii="彩虹粗仿宋" w:hAnsi="彩虹粗仿宋" w:eastAsia="彩虹粗仿宋" w:cs="彩虹粗仿宋"/>
          <w:sz w:val="30"/>
          <w:szCs w:val="30"/>
          <w:lang w:val="en-US" w:eastAsia="zh-CN"/>
        </w:rPr>
        <w:t>；合同执行过半后且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广告公司提供正式发票后10个工作日内支付</w:t>
      </w: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合同总金额的另一半</w:t>
      </w:r>
      <w:r>
        <w:rPr>
          <w:rFonts w:hint="eastAsia" w:ascii="彩虹粗仿宋" w:hAnsi="彩虹粗仿宋" w:eastAsia="彩虹粗仿宋" w:cs="彩虹粗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售后服务要求</w:t>
      </w:r>
    </w:p>
    <w:p>
      <w:pPr>
        <w:spacing w:line="360" w:lineRule="auto"/>
        <w:ind w:firstLine="640" w:firstLineChars="200"/>
        <w:rPr>
          <w:rFonts w:hint="default" w:ascii="彩虹黑体" w:hAnsi="宋体" w:eastAsia="彩虹黑体" w:cs="Times New Roman"/>
          <w:snapToGrid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广告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投放后及时提供监测报告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，监测报告包括并不限于照片、视频等形式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报价要求</w:t>
      </w:r>
    </w:p>
    <w:p>
      <w:pPr>
        <w:numPr>
          <w:ilvl w:val="0"/>
          <w:numId w:val="0"/>
        </w:numPr>
        <w:spacing w:line="360" w:lineRule="auto"/>
        <w:ind w:leftChars="200" w:firstLine="320" w:firstLineChars="100"/>
        <w:rPr>
          <w:rFonts w:hint="default" w:ascii="彩虹黑体" w:hAnsi="宋体" w:eastAsia="彩虹黑体" w:cs="Times New Roman"/>
          <w:snapToGrid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eastAsia="zh-CN"/>
        </w:rPr>
        <w:t>无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其他要求</w:t>
      </w:r>
    </w:p>
    <w:p>
      <w:pPr>
        <w:numPr>
          <w:ilvl w:val="0"/>
          <w:numId w:val="0"/>
        </w:numPr>
        <w:spacing w:line="360" w:lineRule="auto"/>
        <w:ind w:leftChars="200" w:firstLine="320" w:firstLineChars="100"/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eastAsia="zh-CN"/>
        </w:rPr>
        <w:t>无</w:t>
      </w:r>
    </w:p>
    <w:p/>
    <w:p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E179C"/>
    <w:multiLevelType w:val="singleLevel"/>
    <w:tmpl w:val="14FE179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B4FC8"/>
    <w:rsid w:val="1F2575CF"/>
    <w:rsid w:val="41725A4E"/>
    <w:rsid w:val="56C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har Char1 Char Char Char"/>
    <w:basedOn w:val="1"/>
    <w:qFormat/>
    <w:uiPriority w:val="0"/>
    <w:rPr>
      <w:rFonts w:ascii="Times New Roman" w:hAnsi="Times New Roman"/>
      <w:kern w:val="0"/>
      <w:sz w:val="20"/>
      <w:szCs w:val="24"/>
    </w:rPr>
  </w:style>
  <w:style w:type="character" w:customStyle="1" w:styleId="6">
    <w:name w:val="font21"/>
    <w:basedOn w:val="4"/>
    <w:qFormat/>
    <w:uiPriority w:val="0"/>
    <w:rPr>
      <w:rFonts w:hint="default" w:ascii="Microsoft YaHei Regular" w:hAnsi="Microsoft YaHei Regular" w:eastAsia="Microsoft YaHei Regular" w:cs="Microsoft YaHei Regular"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11"/>
    <w:basedOn w:val="4"/>
    <w:qFormat/>
    <w:uiPriority w:val="0"/>
    <w:rPr>
      <w:rFonts w:hint="default" w:ascii="Microsoft YaHei Regular" w:hAnsi="Microsoft YaHei Regular" w:eastAsia="Microsoft YaHei Regular" w:cs="Microsoft YaHei Regular"/>
      <w:color w:val="000000"/>
      <w:sz w:val="36"/>
      <w:szCs w:val="36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2024-04-08T02:31:00Z</dcterms:created>
  <dc:creator>admin</dc:creator>
  <cp:lastModifiedBy>Administrator</cp:lastModifiedBy>
  <dcterms:modified xsi:type="dcterms:W3CDTF">2024-10-15T08:01:23Z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76494A69082340DEA7BB47E2FD889976_13</vt:lpwstr>
  </property>
</Properties>
</file>