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彩虹小标宋" w:hAnsi="宋体" w:eastAsia="彩虹小标宋" w:cs="Times New Roman"/>
          <w:b/>
          <w:snapToGrid w:val="0"/>
          <w:kern w:val="0"/>
          <w:sz w:val="32"/>
          <w:szCs w:val="32"/>
        </w:rPr>
      </w:pPr>
      <w:r>
        <w:rPr>
          <w:rFonts w:hint="eastAsia" w:ascii="彩虹小标宋" w:hAnsi="宋体" w:eastAsia="彩虹小标宋" w:cs="Times New Roman"/>
          <w:b/>
          <w:snapToGrid w:val="0"/>
          <w:kern w:val="0"/>
          <w:sz w:val="32"/>
          <w:szCs w:val="32"/>
        </w:rPr>
        <w:t>中国建设银行厦门市分行信用卡</w:t>
      </w:r>
      <w:r>
        <w:rPr>
          <w:rFonts w:hint="eastAsia" w:ascii="彩虹小标宋" w:hAnsi="宋体" w:eastAsia="彩虹小标宋" w:cs="Times New Roman"/>
          <w:b/>
          <w:snapToGrid w:val="0"/>
          <w:kern w:val="0"/>
          <w:sz w:val="32"/>
          <w:szCs w:val="32"/>
          <w:lang w:eastAsia="zh-CN"/>
        </w:rPr>
        <w:t>“一元购”活动平台服务商</w:t>
      </w:r>
      <w:r>
        <w:rPr>
          <w:rFonts w:hint="eastAsia" w:ascii="彩虹小标宋" w:hAnsi="宋体" w:eastAsia="彩虹小标宋" w:cs="Times New Roman"/>
          <w:b/>
          <w:snapToGrid w:val="0"/>
          <w:kern w:val="0"/>
          <w:sz w:val="32"/>
          <w:szCs w:val="32"/>
        </w:rPr>
        <w:t>采购需求</w:t>
      </w:r>
    </w:p>
    <w:p>
      <w:pPr>
        <w:pStyle w:val="10"/>
        <w:numPr>
          <w:numId w:val="0"/>
        </w:numPr>
        <w:spacing w:line="360" w:lineRule="auto"/>
        <w:ind w:left="602" w:leftChars="0"/>
        <w:rPr>
          <w:rFonts w:ascii="彩虹黑体" w:eastAsia="彩虹黑体"/>
          <w:b/>
          <w:sz w:val="30"/>
          <w:szCs w:val="30"/>
        </w:rPr>
      </w:pPr>
      <w:r>
        <w:rPr>
          <w:rFonts w:hint="eastAsia" w:ascii="彩虹黑体" w:eastAsia="彩虹黑体"/>
          <w:b/>
          <w:sz w:val="30"/>
          <w:szCs w:val="30"/>
          <w:lang w:val="en-US" w:eastAsia="zh-CN"/>
        </w:rPr>
        <w:t>一、</w:t>
      </w:r>
      <w:r>
        <w:rPr>
          <w:rFonts w:hint="eastAsia" w:ascii="彩虹黑体" w:eastAsia="彩虹黑体"/>
          <w:b/>
          <w:sz w:val="30"/>
          <w:szCs w:val="30"/>
        </w:rPr>
        <w:t>服务供应商</w:t>
      </w:r>
      <w:r>
        <w:rPr>
          <w:rFonts w:hint="eastAsia" w:ascii="彩虹黑体" w:eastAsia="彩虹黑体"/>
          <w:b/>
          <w:sz w:val="30"/>
          <w:szCs w:val="30"/>
          <w:lang w:val="en-US" w:eastAsia="zh-CN"/>
        </w:rPr>
        <w:t>资格</w:t>
      </w:r>
      <w:r>
        <w:rPr>
          <w:rFonts w:hint="eastAsia" w:ascii="彩虹黑体" w:eastAsia="彩虹黑体"/>
          <w:b/>
          <w:sz w:val="30"/>
          <w:szCs w:val="30"/>
        </w:rPr>
        <w:t>要求</w:t>
      </w:r>
    </w:p>
    <w:p>
      <w:pPr>
        <w:ind w:firstLine="600" w:firstLineChars="200"/>
        <w:rPr>
          <w:rFonts w:hint="eastAsia" w:ascii="彩虹粗仿宋" w:hAnsi="宋体" w:eastAsia="彩虹粗仿宋" w:cs="Times New Roman"/>
          <w:snapToGrid w:val="0"/>
          <w:color w:val="000000" w:themeColor="text1"/>
          <w:kern w:val="0"/>
          <w:sz w:val="30"/>
          <w:szCs w:val="30"/>
          <w14:textFill>
            <w14:solidFill>
              <w14:schemeClr w14:val="tx1"/>
            </w14:solidFill>
          </w14:textFill>
        </w:rPr>
      </w:pPr>
      <w:r>
        <w:rPr>
          <w:rFonts w:hint="eastAsia" w:ascii="彩虹粗仿宋" w:hAnsi="宋体" w:eastAsia="彩虹粗仿宋" w:cs="Times New Roman"/>
          <w:snapToGrid w:val="0"/>
          <w:color w:val="000000" w:themeColor="text1"/>
          <w:kern w:val="0"/>
          <w:sz w:val="30"/>
          <w:szCs w:val="30"/>
          <w14:textFill>
            <w14:solidFill>
              <w14:schemeClr w14:val="tx1"/>
            </w14:solidFill>
          </w14:textFill>
        </w:rPr>
        <w:t>1.企业必须是在中华人民共和国境内注册的具有独立承担民事责任能力的法人，注册资本不低于3000万元人民币（或等值外币）及以上；</w:t>
      </w:r>
    </w:p>
    <w:p>
      <w:pPr>
        <w:ind w:firstLine="600" w:firstLineChars="200"/>
        <w:rPr>
          <w:rFonts w:hint="eastAsia" w:ascii="彩虹粗仿宋" w:hAnsi="宋体" w:eastAsia="彩虹粗仿宋" w:cs="Times New Roman"/>
          <w:snapToGrid w:val="0"/>
          <w:color w:val="000000" w:themeColor="text1"/>
          <w:kern w:val="0"/>
          <w:sz w:val="30"/>
          <w:szCs w:val="30"/>
          <w14:textFill>
            <w14:solidFill>
              <w14:schemeClr w14:val="tx1"/>
            </w14:solidFill>
          </w14:textFill>
        </w:rPr>
      </w:pPr>
      <w:r>
        <w:rPr>
          <w:rFonts w:hint="eastAsia" w:ascii="彩虹粗仿宋" w:hAnsi="宋体" w:eastAsia="彩虹粗仿宋" w:cs="Times New Roman"/>
          <w:snapToGrid w:val="0"/>
          <w:color w:val="000000" w:themeColor="text1"/>
          <w:kern w:val="0"/>
          <w:sz w:val="30"/>
          <w:szCs w:val="30"/>
          <w14:textFill>
            <w14:solidFill>
              <w14:schemeClr w14:val="tx1"/>
            </w14:solidFill>
          </w14:textFill>
        </w:rPr>
        <w:t>2.企业应具备微信、支付宝渠道服务商资质（需提供相关证明材料）；</w:t>
      </w:r>
    </w:p>
    <w:p>
      <w:pPr>
        <w:ind w:firstLine="600" w:firstLineChars="200"/>
        <w:rPr>
          <w:rFonts w:hint="eastAsia" w:ascii="彩虹粗仿宋" w:hAnsi="宋体" w:eastAsia="彩虹粗仿宋" w:cs="Times New Roman"/>
          <w:snapToGrid w:val="0"/>
          <w:color w:val="000000" w:themeColor="text1"/>
          <w:kern w:val="0"/>
          <w:sz w:val="30"/>
          <w:szCs w:val="30"/>
          <w14:textFill>
            <w14:solidFill>
              <w14:schemeClr w14:val="tx1"/>
            </w14:solidFill>
          </w14:textFill>
        </w:rPr>
      </w:pPr>
      <w:r>
        <w:rPr>
          <w:rFonts w:hint="eastAsia" w:ascii="彩虹粗仿宋" w:hAnsi="宋体" w:eastAsia="彩虹粗仿宋" w:cs="Times New Roman"/>
          <w:snapToGrid w:val="0"/>
          <w:color w:val="000000" w:themeColor="text1"/>
          <w:kern w:val="0"/>
          <w:sz w:val="30"/>
          <w:szCs w:val="30"/>
          <w14:textFill>
            <w14:solidFill>
              <w14:schemeClr w14:val="tx1"/>
            </w14:solidFill>
          </w14:textFill>
        </w:rPr>
        <w:t>3. 企业必须已获得总行授权绑定“中国建设银行”微信小程序资格；</w:t>
      </w:r>
    </w:p>
    <w:p>
      <w:pPr>
        <w:ind w:firstLine="600" w:firstLineChars="200"/>
        <w:rPr>
          <w:rFonts w:hint="eastAsia" w:ascii="彩虹粗仿宋" w:hAnsi="宋体" w:eastAsia="彩虹粗仿宋" w:cs="Times New Roman"/>
          <w:snapToGrid w:val="0"/>
          <w:color w:val="000000" w:themeColor="text1"/>
          <w:kern w:val="0"/>
          <w:sz w:val="30"/>
          <w:szCs w:val="30"/>
          <w14:textFill>
            <w14:solidFill>
              <w14:schemeClr w14:val="tx1"/>
            </w14:solidFill>
          </w14:textFill>
        </w:rPr>
      </w:pPr>
      <w:r>
        <w:rPr>
          <w:rFonts w:hint="eastAsia" w:ascii="彩虹粗仿宋" w:hAnsi="宋体" w:eastAsia="彩虹粗仿宋" w:cs="Times New Roman"/>
          <w:snapToGrid w:val="0"/>
          <w:color w:val="000000" w:themeColor="text1"/>
          <w:kern w:val="0"/>
          <w:sz w:val="30"/>
          <w:szCs w:val="30"/>
          <w14:textFill>
            <w14:solidFill>
              <w14:schemeClr w14:val="tx1"/>
            </w14:solidFill>
          </w14:textFill>
        </w:rPr>
        <w:t>4.企业近3年有承接银行业同类项目的合作案例</w:t>
      </w:r>
    </w:p>
    <w:p>
      <w:pPr>
        <w:spacing w:line="360" w:lineRule="auto"/>
        <w:ind w:firstLine="602" w:firstLineChars="200"/>
        <w:rPr>
          <w:rFonts w:ascii="彩虹黑体" w:eastAsia="彩虹黑体" w:hAnsiTheme="minorEastAsia"/>
          <w:sz w:val="30"/>
          <w:szCs w:val="30"/>
        </w:rPr>
      </w:pPr>
      <w:r>
        <w:rPr>
          <w:rFonts w:hint="eastAsia" w:ascii="彩虹黑体" w:eastAsia="彩虹黑体"/>
          <w:b/>
          <w:sz w:val="30"/>
          <w:szCs w:val="30"/>
          <w:lang w:val="en-US" w:eastAsia="zh-CN"/>
        </w:rPr>
        <w:t>二</w:t>
      </w:r>
      <w:r>
        <w:rPr>
          <w:rFonts w:hint="eastAsia" w:ascii="彩虹黑体" w:eastAsia="彩虹黑体"/>
          <w:b/>
          <w:sz w:val="30"/>
          <w:szCs w:val="30"/>
        </w:rPr>
        <w:t>、服务品类</w:t>
      </w:r>
    </w:p>
    <w:p>
      <w:pPr>
        <w:ind w:firstLine="600" w:firstLineChars="200"/>
        <w:rPr>
          <w:rFonts w:ascii="彩虹粗仿宋" w:hAnsi="宋体" w:eastAsia="彩虹粗仿宋" w:cs="Times New Roman"/>
          <w:snapToGrid w:val="0"/>
          <w:color w:val="000000" w:themeColor="text1"/>
          <w:kern w:val="0"/>
          <w:sz w:val="30"/>
          <w:szCs w:val="30"/>
          <w14:textFill>
            <w14:solidFill>
              <w14:schemeClr w14:val="tx1"/>
            </w14:solidFill>
          </w14:textFill>
        </w:rPr>
      </w:pPr>
      <w:r>
        <w:rPr>
          <w:rFonts w:hint="eastAsia" w:ascii="彩虹粗仿宋" w:hAnsi="宋体" w:eastAsia="彩虹粗仿宋" w:cs="Times New Roman"/>
          <w:snapToGrid w:val="0"/>
          <w:color w:val="000000" w:themeColor="text1"/>
          <w:kern w:val="0"/>
          <w:sz w:val="30"/>
          <w:szCs w:val="30"/>
          <w14:textFill>
            <w14:solidFill>
              <w14:schemeClr w14:val="tx1"/>
            </w14:solidFill>
          </w14:textFill>
        </w:rPr>
        <w:t>本次采购商品为</w:t>
      </w:r>
      <w:r>
        <w:rPr>
          <w:rFonts w:hint="eastAsia" w:ascii="彩虹粗仿宋" w:hAnsi="宋体" w:eastAsia="彩虹粗仿宋" w:cs="Times New Roman"/>
          <w:snapToGrid w:val="0"/>
          <w:color w:val="000000" w:themeColor="text1"/>
          <w:kern w:val="0"/>
          <w:sz w:val="30"/>
          <w:szCs w:val="30"/>
          <w:lang w:eastAsia="zh-CN"/>
          <w14:textFill>
            <w14:solidFill>
              <w14:schemeClr w14:val="tx1"/>
            </w14:solidFill>
          </w14:textFill>
        </w:rPr>
        <w:t>信用卡“一元购”活动平台</w:t>
      </w:r>
      <w:r>
        <w:rPr>
          <w:rFonts w:hint="eastAsia" w:ascii="彩虹粗仿宋" w:hAnsi="宋体" w:eastAsia="彩虹粗仿宋" w:cs="Times New Roman"/>
          <w:snapToGrid w:val="0"/>
          <w:color w:val="000000" w:themeColor="text1"/>
          <w:kern w:val="0"/>
          <w:sz w:val="30"/>
          <w:szCs w:val="30"/>
          <w14:textFill>
            <w14:solidFill>
              <w14:schemeClr w14:val="tx1"/>
            </w14:solidFill>
          </w14:textFill>
        </w:rPr>
        <w:t>立减金权益，所属商品品类为其他增值服务。</w:t>
      </w:r>
      <w:bookmarkStart w:id="0" w:name="_GoBack"/>
      <w:bookmarkEnd w:id="0"/>
    </w:p>
    <w:p>
      <w:pPr>
        <w:spacing w:line="360" w:lineRule="auto"/>
        <w:ind w:firstLine="602" w:firstLineChars="200"/>
        <w:rPr>
          <w:rFonts w:ascii="彩虹黑体" w:eastAsia="彩虹黑体"/>
          <w:b/>
          <w:sz w:val="30"/>
          <w:szCs w:val="30"/>
        </w:rPr>
      </w:pPr>
      <w:r>
        <w:rPr>
          <w:rFonts w:hint="eastAsia" w:ascii="彩虹黑体" w:eastAsia="彩虹黑体"/>
          <w:b/>
          <w:sz w:val="30"/>
          <w:szCs w:val="30"/>
          <w:lang w:val="en-US" w:eastAsia="zh-CN"/>
        </w:rPr>
        <w:t>三</w:t>
      </w:r>
      <w:r>
        <w:rPr>
          <w:rFonts w:hint="eastAsia" w:ascii="彩虹黑体" w:eastAsia="彩虹黑体"/>
          <w:b/>
          <w:sz w:val="30"/>
          <w:szCs w:val="30"/>
        </w:rPr>
        <w:t>、服务内容</w:t>
      </w:r>
    </w:p>
    <w:p>
      <w:pPr>
        <w:spacing w:line="360" w:lineRule="auto"/>
        <w:ind w:firstLine="600" w:firstLineChars="200"/>
        <w:rPr>
          <w:rFonts w:hint="eastAsia" w:ascii="彩虹粗仿宋" w:eastAsia="彩虹粗仿宋"/>
          <w:sz w:val="30"/>
          <w:szCs w:val="30"/>
        </w:rPr>
      </w:pPr>
      <w:r>
        <w:rPr>
          <w:rFonts w:hint="eastAsia" w:ascii="彩虹粗仿宋" w:eastAsia="彩虹粗仿宋"/>
          <w:sz w:val="30"/>
          <w:szCs w:val="30"/>
        </w:rPr>
        <w:t>1.接口对接：具备在我分行规定时间内，按照我行安全要求完成与我行微信小程序平台接口对接的能力，实现营销活动参与客户权益发放。</w:t>
      </w:r>
    </w:p>
    <w:p>
      <w:pPr>
        <w:spacing w:line="360" w:lineRule="auto"/>
        <w:ind w:firstLine="600" w:firstLineChars="200"/>
        <w:rPr>
          <w:rFonts w:hint="eastAsia" w:ascii="彩虹粗仿宋" w:eastAsia="彩虹粗仿宋"/>
          <w:sz w:val="30"/>
          <w:szCs w:val="30"/>
        </w:rPr>
      </w:pPr>
      <w:r>
        <w:rPr>
          <w:rFonts w:hint="eastAsia" w:ascii="彩虹粗仿宋" w:eastAsia="彩虹粗仿宋"/>
          <w:sz w:val="30"/>
          <w:szCs w:val="30"/>
        </w:rPr>
        <w:t>2.页面设计：根据我分行业务需求在我行微信小程序平台提供相应的活动页面及图片设计、H5页面制作、宣传材料设计等。</w:t>
      </w:r>
    </w:p>
    <w:p>
      <w:pPr>
        <w:spacing w:line="360" w:lineRule="auto"/>
        <w:ind w:firstLine="600" w:firstLineChars="200"/>
        <w:rPr>
          <w:rFonts w:hint="eastAsia" w:ascii="彩虹粗仿宋" w:eastAsia="彩虹粗仿宋"/>
          <w:sz w:val="30"/>
          <w:szCs w:val="30"/>
        </w:rPr>
      </w:pPr>
      <w:r>
        <w:rPr>
          <w:rFonts w:hint="eastAsia" w:ascii="彩虹粗仿宋" w:eastAsia="彩虹粗仿宋"/>
          <w:sz w:val="30"/>
          <w:szCs w:val="30"/>
        </w:rPr>
        <w:t>3.权益发放：按照我分行业务推进要求，在我行微信小程序平台为我分行指定客户配置活动、发放卡券、立减金等激励，能够配合完成营销活动中报名、抽奖、领券、核销等功能。</w:t>
      </w:r>
    </w:p>
    <w:p>
      <w:pPr>
        <w:spacing w:line="360" w:lineRule="auto"/>
        <w:ind w:firstLine="600" w:firstLineChars="200"/>
        <w:rPr>
          <w:rFonts w:hint="eastAsia" w:ascii="彩虹粗仿宋" w:eastAsia="彩虹粗仿宋"/>
          <w:sz w:val="30"/>
          <w:szCs w:val="30"/>
        </w:rPr>
      </w:pPr>
      <w:r>
        <w:rPr>
          <w:rFonts w:hint="eastAsia" w:ascii="彩虹粗仿宋" w:eastAsia="彩虹粗仿宋"/>
          <w:sz w:val="30"/>
          <w:szCs w:val="30"/>
        </w:rPr>
        <w:t>4.数据支持：提供活动营销数据等支持，配合我分行完成核验、对账工作。</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5.配套客服：负责做好立减金权益领取投诉的化解工作。具体需求详见附件。</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6.其他服务：负责做好我分行安排的与立减金权益相关的其他服务。</w:t>
      </w:r>
    </w:p>
    <w:p>
      <w:pPr>
        <w:spacing w:line="360" w:lineRule="auto"/>
        <w:ind w:firstLine="602" w:firstLineChars="200"/>
        <w:rPr>
          <w:rFonts w:ascii="彩虹黑体" w:eastAsia="彩虹黑体"/>
          <w:b/>
          <w:sz w:val="30"/>
          <w:szCs w:val="30"/>
        </w:rPr>
      </w:pPr>
      <w:r>
        <w:rPr>
          <w:rFonts w:hint="eastAsia" w:ascii="彩虹黑体" w:eastAsia="彩虹黑体"/>
          <w:b/>
          <w:sz w:val="30"/>
          <w:szCs w:val="30"/>
          <w:lang w:val="en-US" w:eastAsia="zh-CN"/>
        </w:rPr>
        <w:t>四</w:t>
      </w:r>
      <w:r>
        <w:rPr>
          <w:rFonts w:hint="eastAsia" w:ascii="彩虹黑体" w:eastAsia="彩虹黑体"/>
          <w:b/>
          <w:sz w:val="30"/>
          <w:szCs w:val="30"/>
        </w:rPr>
        <w:t>、服务团队要求</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1.供应商应指派专人与我分行进行对接。</w:t>
      </w:r>
    </w:p>
    <w:p>
      <w:pPr>
        <w:spacing w:line="360" w:lineRule="auto"/>
        <w:ind w:firstLine="600" w:firstLineChars="200"/>
        <w:rPr>
          <w:rFonts w:ascii="彩虹粗仿宋" w:eastAsia="彩虹粗仿宋"/>
          <w:b/>
          <w:sz w:val="30"/>
          <w:szCs w:val="30"/>
        </w:rPr>
      </w:pPr>
      <w:r>
        <w:rPr>
          <w:rFonts w:hint="eastAsia" w:ascii="彩虹粗仿宋" w:eastAsia="彩虹粗仿宋"/>
          <w:sz w:val="30"/>
          <w:szCs w:val="30"/>
        </w:rPr>
        <w:t>2.供应商提供3-4人的服务小组，能按我分行要求配合我分行进行远程或现场讨论，共同负责我分行合作业务的推广和运营。</w:t>
      </w:r>
    </w:p>
    <w:p>
      <w:pPr>
        <w:spacing w:line="360" w:lineRule="auto"/>
        <w:ind w:firstLine="602" w:firstLineChars="200"/>
        <w:rPr>
          <w:rFonts w:ascii="彩虹黑体" w:eastAsia="彩虹黑体"/>
          <w:b/>
          <w:sz w:val="30"/>
          <w:szCs w:val="30"/>
        </w:rPr>
      </w:pPr>
      <w:r>
        <w:rPr>
          <w:rFonts w:hint="eastAsia" w:ascii="彩虹黑体" w:eastAsia="彩虹黑体"/>
          <w:b/>
          <w:sz w:val="30"/>
          <w:szCs w:val="30"/>
          <w:lang w:val="en-US" w:eastAsia="zh-CN"/>
        </w:rPr>
        <w:t>五</w:t>
      </w:r>
      <w:r>
        <w:rPr>
          <w:rFonts w:hint="eastAsia" w:ascii="彩虹黑体" w:eastAsia="彩虹黑体"/>
          <w:b/>
          <w:sz w:val="30"/>
          <w:szCs w:val="30"/>
        </w:rPr>
        <w:t>、服务质量要求</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1.供应商应确保活动过程中立减金等权益发放的时效性和稳定性，能满足我分行客户的参与强度。</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2.供应商应先行垫付优惠补贴资金，待我分行与供应商定期核对验收数据后再结算。</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3.供应商能够为本项目执行设置单独的资金备用池。</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4.在合同期内，供应商免费提供400活动客服、7*24小时技术咨询热线或在线咨询答复功能，满足活动参与人数并发量10万人以上的客诉处理能力；供应商应免费提供远程支援服务，遇到紧急情况还应派人现场支援。</w:t>
      </w:r>
    </w:p>
    <w:p>
      <w:pPr>
        <w:spacing w:line="360" w:lineRule="auto"/>
        <w:ind w:firstLine="602" w:firstLineChars="200"/>
        <w:rPr>
          <w:rFonts w:ascii="彩虹黑体" w:eastAsia="彩虹黑体"/>
          <w:b/>
          <w:sz w:val="30"/>
          <w:szCs w:val="30"/>
        </w:rPr>
      </w:pPr>
      <w:r>
        <w:rPr>
          <w:rFonts w:hint="eastAsia" w:ascii="彩虹黑体" w:eastAsia="彩虹黑体"/>
          <w:b/>
          <w:sz w:val="30"/>
          <w:szCs w:val="30"/>
          <w:lang w:val="en-US" w:eastAsia="zh-CN"/>
        </w:rPr>
        <w:t>六</w:t>
      </w:r>
      <w:r>
        <w:rPr>
          <w:rFonts w:hint="eastAsia" w:ascii="彩虹黑体" w:eastAsia="彩虹黑体"/>
          <w:b/>
          <w:sz w:val="30"/>
          <w:szCs w:val="30"/>
        </w:rPr>
        <w:t>、服务数量要求</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服务数量按实际活动开展情况执行。</w:t>
      </w:r>
    </w:p>
    <w:p>
      <w:pPr>
        <w:spacing w:line="360" w:lineRule="auto"/>
        <w:ind w:firstLine="602" w:firstLineChars="200"/>
        <w:rPr>
          <w:rFonts w:ascii="彩虹黑体" w:eastAsia="彩虹黑体"/>
          <w:b/>
          <w:sz w:val="30"/>
          <w:szCs w:val="30"/>
        </w:rPr>
      </w:pPr>
      <w:r>
        <w:rPr>
          <w:rFonts w:hint="eastAsia" w:ascii="彩虹黑体" w:eastAsia="彩虹黑体"/>
          <w:b/>
          <w:sz w:val="30"/>
          <w:szCs w:val="30"/>
          <w:lang w:val="en-US" w:eastAsia="zh-CN"/>
        </w:rPr>
        <w:t>七</w:t>
      </w:r>
      <w:r>
        <w:rPr>
          <w:rFonts w:hint="eastAsia" w:ascii="彩虹黑体" w:eastAsia="彩虹黑体"/>
          <w:b/>
          <w:sz w:val="30"/>
          <w:szCs w:val="30"/>
        </w:rPr>
        <w:t>、服务供应安排</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1.供应商应于合同签订之日起开始提供服务。</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2.供应商按照约定的服务内容和服务要求按时提供合格的服务，服务期内服务供应商有义务对所提供的服务按照我分行要求不断调整，以达到服务的不断优化。</w:t>
      </w:r>
    </w:p>
    <w:p>
      <w:pPr>
        <w:spacing w:line="360" w:lineRule="auto"/>
        <w:ind w:firstLine="602" w:firstLineChars="200"/>
        <w:rPr>
          <w:rFonts w:ascii="彩虹黑体" w:eastAsia="彩虹黑体"/>
          <w:b/>
          <w:sz w:val="30"/>
          <w:szCs w:val="30"/>
        </w:rPr>
      </w:pPr>
      <w:r>
        <w:rPr>
          <w:rFonts w:hint="eastAsia" w:ascii="彩虹黑体" w:eastAsia="彩虹黑体"/>
          <w:b/>
          <w:sz w:val="30"/>
          <w:szCs w:val="30"/>
          <w:lang w:val="en-US" w:eastAsia="zh-CN"/>
        </w:rPr>
        <w:t>八</w:t>
      </w:r>
      <w:r>
        <w:rPr>
          <w:rFonts w:hint="eastAsia" w:ascii="彩虹黑体" w:eastAsia="彩虹黑体"/>
          <w:b/>
          <w:sz w:val="30"/>
          <w:szCs w:val="30"/>
        </w:rPr>
        <w:t>、费用支付要求</w:t>
      </w:r>
    </w:p>
    <w:p>
      <w:pPr>
        <w:spacing w:line="360" w:lineRule="auto"/>
        <w:ind w:firstLine="600" w:firstLineChars="200"/>
        <w:rPr>
          <w:rFonts w:ascii="彩虹粗仿宋" w:hAnsi="楷体" w:eastAsia="彩虹粗仿宋" w:cs="宋体"/>
          <w:bCs/>
          <w:color w:val="000000"/>
          <w:kern w:val="0"/>
          <w:sz w:val="30"/>
          <w:szCs w:val="30"/>
        </w:rPr>
      </w:pPr>
      <w:r>
        <w:rPr>
          <w:rFonts w:hint="eastAsia" w:ascii="彩虹粗仿宋" w:hAnsi="楷体" w:eastAsia="彩虹粗仿宋" w:cs="宋体"/>
          <w:bCs/>
          <w:color w:val="000000"/>
          <w:kern w:val="0"/>
          <w:sz w:val="30"/>
          <w:szCs w:val="30"/>
        </w:rPr>
        <w:t>1.原则上供应商须在我行开立账户（与中国建设银行龙集采平台https://ibuy.ccb.com/供应商预留账户一致），作为合同指定付款账户；</w:t>
      </w:r>
    </w:p>
    <w:p>
      <w:pPr>
        <w:spacing w:line="360" w:lineRule="auto"/>
        <w:ind w:firstLine="600" w:firstLineChars="200"/>
        <w:rPr>
          <w:rFonts w:ascii="彩虹粗仿宋" w:eastAsia="彩虹粗仿宋"/>
          <w:sz w:val="30"/>
          <w:szCs w:val="30"/>
        </w:rPr>
      </w:pPr>
      <w:r>
        <w:rPr>
          <w:rFonts w:hint="eastAsia" w:ascii="彩虹粗仿宋" w:hAnsi="楷体" w:eastAsia="彩虹粗仿宋" w:cs="宋体"/>
          <w:bCs/>
          <w:color w:val="000000"/>
          <w:kern w:val="0"/>
          <w:sz w:val="30"/>
          <w:szCs w:val="30"/>
        </w:rPr>
        <w:t>2.付款方式：供应商根据约定的结算周期提供结算单和验收单与我分行核对。双方核对无误后由供应商提供增值税专用发票，我分行收到发票确认无误后15个工作日内支付该结算周期内应付款项。</w:t>
      </w:r>
    </w:p>
    <w:p>
      <w:pPr>
        <w:spacing w:line="360" w:lineRule="auto"/>
        <w:ind w:firstLine="602" w:firstLineChars="200"/>
        <w:rPr>
          <w:rFonts w:ascii="彩虹黑体" w:eastAsia="彩虹黑体"/>
          <w:b/>
          <w:sz w:val="30"/>
          <w:szCs w:val="30"/>
        </w:rPr>
      </w:pPr>
      <w:r>
        <w:rPr>
          <w:rFonts w:hint="eastAsia" w:ascii="彩虹黑体" w:eastAsia="彩虹黑体"/>
          <w:b/>
          <w:sz w:val="30"/>
          <w:szCs w:val="30"/>
          <w:lang w:val="en-US" w:eastAsia="zh-CN"/>
        </w:rPr>
        <w:t>九</w:t>
      </w:r>
      <w:r>
        <w:rPr>
          <w:rFonts w:hint="eastAsia" w:ascii="彩虹黑体" w:eastAsia="彩虹黑体"/>
          <w:b/>
          <w:sz w:val="30"/>
          <w:szCs w:val="30"/>
        </w:rPr>
        <w:t>、其他要求</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1.供应商有义务配合我分行关于业务的抽查、日常业务检查及审计人员的检查工作；</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2.供应商不得以银行业金融机构的名义开展任何活动、承诺遵守银行业金融机构认为应当承诺的其他事项，承诺定期通报活动开展情况、及时通报活动的突发性事件、配合银行业金融机构接受银行业监督管理机构的检查、保障客户信息的安全性。当客户信息不安全或客户权利受到影响时，银行业金融机构有权随时终止合同。</w:t>
      </w:r>
    </w:p>
    <w:p>
      <w:pPr>
        <w:spacing w:line="360" w:lineRule="auto"/>
        <w:ind w:firstLine="600" w:firstLineChars="200"/>
        <w:rPr>
          <w:rFonts w:ascii="彩虹粗仿宋" w:eastAsia="彩虹粗仿宋"/>
          <w:sz w:val="30"/>
          <w:szCs w:val="30"/>
        </w:rPr>
      </w:pPr>
      <w:r>
        <w:rPr>
          <w:rFonts w:hint="eastAsia" w:ascii="彩虹粗仿宋" w:eastAsia="彩虹粗仿宋"/>
          <w:sz w:val="30"/>
          <w:szCs w:val="30"/>
        </w:rPr>
        <w:t>3.</w:t>
      </w:r>
      <w:r>
        <w:rPr>
          <w:rFonts w:hint="eastAsia" w:ascii="彩虹粗仿宋" w:hAnsi="宋体" w:eastAsia="彩虹粗仿宋" w:cs="Times New Roman"/>
          <w:snapToGrid w:val="0"/>
          <w:kern w:val="0"/>
          <w:sz w:val="32"/>
          <w:szCs w:val="32"/>
        </w:rPr>
        <w:t>拟签订框架协议，有效期从合同签订之日起一年。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22703"/>
    <w:rsid w:val="000369EA"/>
    <w:rsid w:val="000376C5"/>
    <w:rsid w:val="000535E2"/>
    <w:rsid w:val="00075ABD"/>
    <w:rsid w:val="000E1893"/>
    <w:rsid w:val="00103DB5"/>
    <w:rsid w:val="001269E1"/>
    <w:rsid w:val="001317FE"/>
    <w:rsid w:val="001365B7"/>
    <w:rsid w:val="001752C4"/>
    <w:rsid w:val="001B2092"/>
    <w:rsid w:val="001C3D63"/>
    <w:rsid w:val="001C666E"/>
    <w:rsid w:val="0022110F"/>
    <w:rsid w:val="002249F9"/>
    <w:rsid w:val="00225DC3"/>
    <w:rsid w:val="00230107"/>
    <w:rsid w:val="002303EE"/>
    <w:rsid w:val="00251410"/>
    <w:rsid w:val="002729F9"/>
    <w:rsid w:val="00276452"/>
    <w:rsid w:val="002A14C4"/>
    <w:rsid w:val="002A184A"/>
    <w:rsid w:val="002A26BF"/>
    <w:rsid w:val="002B7F7D"/>
    <w:rsid w:val="002E6349"/>
    <w:rsid w:val="0030227B"/>
    <w:rsid w:val="00325173"/>
    <w:rsid w:val="003378AA"/>
    <w:rsid w:val="00340E94"/>
    <w:rsid w:val="00345CD5"/>
    <w:rsid w:val="0036511E"/>
    <w:rsid w:val="00380959"/>
    <w:rsid w:val="003877AE"/>
    <w:rsid w:val="003A3376"/>
    <w:rsid w:val="003A6BF1"/>
    <w:rsid w:val="003C6478"/>
    <w:rsid w:val="00402FA3"/>
    <w:rsid w:val="004359A8"/>
    <w:rsid w:val="00452F54"/>
    <w:rsid w:val="00461DDA"/>
    <w:rsid w:val="004640E5"/>
    <w:rsid w:val="004833A0"/>
    <w:rsid w:val="00483676"/>
    <w:rsid w:val="00483E95"/>
    <w:rsid w:val="004B4A90"/>
    <w:rsid w:val="004E5CE5"/>
    <w:rsid w:val="00504B63"/>
    <w:rsid w:val="00506735"/>
    <w:rsid w:val="00515FFC"/>
    <w:rsid w:val="005261E7"/>
    <w:rsid w:val="00562CE0"/>
    <w:rsid w:val="005723DF"/>
    <w:rsid w:val="005C16A2"/>
    <w:rsid w:val="005F20E1"/>
    <w:rsid w:val="00622F41"/>
    <w:rsid w:val="00633154"/>
    <w:rsid w:val="006335C5"/>
    <w:rsid w:val="00641799"/>
    <w:rsid w:val="00655CFA"/>
    <w:rsid w:val="006A3B6E"/>
    <w:rsid w:val="006B5166"/>
    <w:rsid w:val="006F6C1D"/>
    <w:rsid w:val="0070232D"/>
    <w:rsid w:val="00702FD7"/>
    <w:rsid w:val="00707A20"/>
    <w:rsid w:val="00721C7F"/>
    <w:rsid w:val="00762DC9"/>
    <w:rsid w:val="00781A83"/>
    <w:rsid w:val="007C5602"/>
    <w:rsid w:val="007D0F65"/>
    <w:rsid w:val="007D64C5"/>
    <w:rsid w:val="007E25A6"/>
    <w:rsid w:val="007E71D0"/>
    <w:rsid w:val="007E723C"/>
    <w:rsid w:val="00812589"/>
    <w:rsid w:val="00816D99"/>
    <w:rsid w:val="00817604"/>
    <w:rsid w:val="00826D43"/>
    <w:rsid w:val="00826E3F"/>
    <w:rsid w:val="00832AF7"/>
    <w:rsid w:val="0083434A"/>
    <w:rsid w:val="008B0DDA"/>
    <w:rsid w:val="008E13C8"/>
    <w:rsid w:val="008F4D0D"/>
    <w:rsid w:val="009059A1"/>
    <w:rsid w:val="00926E47"/>
    <w:rsid w:val="009304A2"/>
    <w:rsid w:val="009360BA"/>
    <w:rsid w:val="00972D90"/>
    <w:rsid w:val="00987C08"/>
    <w:rsid w:val="009D2CF0"/>
    <w:rsid w:val="00A2633C"/>
    <w:rsid w:val="00A82E93"/>
    <w:rsid w:val="00AD18F4"/>
    <w:rsid w:val="00AF4336"/>
    <w:rsid w:val="00AF4F0D"/>
    <w:rsid w:val="00B1471D"/>
    <w:rsid w:val="00B327A4"/>
    <w:rsid w:val="00B3298E"/>
    <w:rsid w:val="00B43151"/>
    <w:rsid w:val="00B45FDF"/>
    <w:rsid w:val="00BC45A8"/>
    <w:rsid w:val="00BE1D7A"/>
    <w:rsid w:val="00BE2C66"/>
    <w:rsid w:val="00BE6677"/>
    <w:rsid w:val="00BE6859"/>
    <w:rsid w:val="00BF1019"/>
    <w:rsid w:val="00C03BDD"/>
    <w:rsid w:val="00C127D4"/>
    <w:rsid w:val="00C20677"/>
    <w:rsid w:val="00C241FA"/>
    <w:rsid w:val="00C2432D"/>
    <w:rsid w:val="00C252FF"/>
    <w:rsid w:val="00C25E1B"/>
    <w:rsid w:val="00C3640D"/>
    <w:rsid w:val="00C4432B"/>
    <w:rsid w:val="00C44998"/>
    <w:rsid w:val="00C46DFC"/>
    <w:rsid w:val="00C572FF"/>
    <w:rsid w:val="00C9352B"/>
    <w:rsid w:val="00CD5582"/>
    <w:rsid w:val="00D830E4"/>
    <w:rsid w:val="00DC06EB"/>
    <w:rsid w:val="00DC6ED8"/>
    <w:rsid w:val="00DD6378"/>
    <w:rsid w:val="00DE3965"/>
    <w:rsid w:val="00DF0F2B"/>
    <w:rsid w:val="00DF5CE3"/>
    <w:rsid w:val="00E03F27"/>
    <w:rsid w:val="00E052F6"/>
    <w:rsid w:val="00E73CB9"/>
    <w:rsid w:val="00E77A2A"/>
    <w:rsid w:val="00E82906"/>
    <w:rsid w:val="00F07DDF"/>
    <w:rsid w:val="00F16867"/>
    <w:rsid w:val="00F20444"/>
    <w:rsid w:val="00F22268"/>
    <w:rsid w:val="00F27E16"/>
    <w:rsid w:val="00F3300F"/>
    <w:rsid w:val="00F5323A"/>
    <w:rsid w:val="00F54EBA"/>
    <w:rsid w:val="00F71497"/>
    <w:rsid w:val="00F7425B"/>
    <w:rsid w:val="00FF6ED2"/>
    <w:rsid w:val="29BFF41D"/>
    <w:rsid w:val="3BAD6772"/>
    <w:rsid w:val="4ECB04D1"/>
    <w:rsid w:val="50AD2953"/>
    <w:rsid w:val="77F61BC9"/>
    <w:rsid w:val="7AEB7276"/>
    <w:rsid w:val="7D0F517D"/>
    <w:rsid w:val="A6EF7837"/>
    <w:rsid w:val="BFE7F656"/>
    <w:rsid w:val="BFFE5ADF"/>
    <w:rsid w:val="CFFE2C23"/>
    <w:rsid w:val="FBDB1A4A"/>
    <w:rsid w:val="FFF7F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179</Words>
  <Characters>1026</Characters>
  <Lines>8</Lines>
  <Paragraphs>2</Paragraphs>
  <TotalTime>0</TotalTime>
  <ScaleCrop>false</ScaleCrop>
  <LinksUpToDate>false</LinksUpToDate>
  <CharactersWithSpaces>1203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2023-12-06T00:46:00Z</dcterms:created>
  <dc:creator>Apache POI</dc:creator>
  <cp:lastModifiedBy>Administrator</cp:lastModifiedBy>
  <cp:lastPrinted>2023-12-13T00:46:00Z</cp:lastPrinted>
  <dcterms:modified xsi:type="dcterms:W3CDTF">2024-12-19T09:13:57Z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6F00288E53310E9799866367B5221C3B_42</vt:lpwstr>
  </property>
</Properties>
</file>