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15" w:rsidRPr="00437C59" w:rsidRDefault="00DA5D3B" w:rsidP="001A1F0C">
      <w:pPr>
        <w:widowControl/>
        <w:jc w:val="center"/>
        <w:rPr>
          <w:rFonts w:asciiTheme="minorEastAsia" w:eastAsiaTheme="minorEastAsia" w:hAnsiTheme="minorEastAsia"/>
          <w:b/>
          <w:color w:val="000000"/>
          <w:sz w:val="32"/>
          <w:szCs w:val="32"/>
        </w:rPr>
      </w:pPr>
      <w:r w:rsidRPr="00437C59">
        <w:rPr>
          <w:rFonts w:asciiTheme="minorEastAsia" w:eastAsiaTheme="minorEastAsia" w:hAnsiTheme="minorEastAsia" w:hint="eastAsia"/>
          <w:b/>
          <w:color w:val="000000"/>
          <w:sz w:val="32"/>
          <w:szCs w:val="32"/>
        </w:rPr>
        <w:t xml:space="preserve"> </w:t>
      </w:r>
      <w:r w:rsidR="002C72A6" w:rsidRPr="002C72A6">
        <w:rPr>
          <w:rFonts w:asciiTheme="minorEastAsia" w:eastAsiaTheme="minorEastAsia" w:hAnsiTheme="minorEastAsia" w:hint="eastAsia"/>
          <w:b/>
          <w:color w:val="000000"/>
          <w:sz w:val="32"/>
          <w:szCs w:val="32"/>
        </w:rPr>
        <w:t>中国建设银行云南省分行“乾元-稳赢” (公募) 2019年第1期封闭式净值型人民币</w:t>
      </w:r>
      <w:r w:rsidR="00A22C1A" w:rsidRPr="00437C59">
        <w:rPr>
          <w:rFonts w:asciiTheme="minorEastAsia" w:eastAsiaTheme="minorEastAsia" w:hAnsiTheme="minorEastAsia" w:hint="eastAsia"/>
          <w:b/>
          <w:color w:val="000000"/>
          <w:sz w:val="32"/>
          <w:szCs w:val="32"/>
        </w:rPr>
        <w:t>理财产品</w:t>
      </w:r>
      <w:r w:rsidR="009F02D6">
        <w:rPr>
          <w:rFonts w:asciiTheme="minorEastAsia" w:eastAsiaTheme="minorEastAsia" w:hAnsiTheme="minorEastAsia" w:hint="eastAsia"/>
          <w:b/>
          <w:color w:val="000000"/>
          <w:sz w:val="32"/>
          <w:szCs w:val="32"/>
        </w:rPr>
        <w:t>2020</w:t>
      </w:r>
      <w:r w:rsidR="005F3B6B">
        <w:rPr>
          <w:rFonts w:asciiTheme="minorEastAsia" w:eastAsiaTheme="minorEastAsia" w:hAnsiTheme="minorEastAsia" w:hint="eastAsia"/>
          <w:b/>
          <w:color w:val="000000"/>
          <w:sz w:val="32"/>
          <w:szCs w:val="32"/>
        </w:rPr>
        <w:t>年</w:t>
      </w:r>
      <w:r w:rsidR="009F02D6">
        <w:rPr>
          <w:rFonts w:asciiTheme="minorEastAsia" w:eastAsiaTheme="minorEastAsia" w:hAnsiTheme="minorEastAsia" w:hint="eastAsia"/>
          <w:b/>
          <w:color w:val="000000"/>
          <w:sz w:val="32"/>
          <w:szCs w:val="32"/>
        </w:rPr>
        <w:t>1</w:t>
      </w:r>
      <w:r w:rsidR="00A22C1A" w:rsidRPr="00437C59">
        <w:rPr>
          <w:rFonts w:asciiTheme="minorEastAsia" w:eastAsiaTheme="minorEastAsia" w:hAnsiTheme="minorEastAsia" w:hint="eastAsia"/>
          <w:b/>
          <w:color w:val="000000"/>
          <w:sz w:val="32"/>
          <w:szCs w:val="32"/>
        </w:rPr>
        <w:t>季</w:t>
      </w:r>
      <w:r w:rsidR="00062AD3">
        <w:rPr>
          <w:rFonts w:asciiTheme="minorEastAsia" w:eastAsiaTheme="minorEastAsia" w:hAnsiTheme="minorEastAsia" w:hint="eastAsia"/>
          <w:b/>
          <w:color w:val="000000"/>
          <w:sz w:val="32"/>
          <w:szCs w:val="32"/>
        </w:rPr>
        <w:t>度</w:t>
      </w:r>
      <w:r w:rsidR="00747E15" w:rsidRPr="00437C59">
        <w:rPr>
          <w:rFonts w:asciiTheme="minorEastAsia" w:eastAsiaTheme="minorEastAsia" w:hAnsiTheme="minorEastAsia" w:hint="eastAsia"/>
          <w:b/>
          <w:color w:val="000000"/>
          <w:sz w:val="32"/>
          <w:szCs w:val="32"/>
        </w:rPr>
        <w:t>投资管理</w:t>
      </w:r>
      <w:r w:rsidR="00154D69" w:rsidRPr="00437C59">
        <w:rPr>
          <w:rFonts w:asciiTheme="minorEastAsia" w:eastAsiaTheme="minorEastAsia" w:hAnsiTheme="minorEastAsia" w:hint="eastAsia"/>
          <w:b/>
          <w:color w:val="000000"/>
          <w:sz w:val="32"/>
          <w:szCs w:val="32"/>
        </w:rPr>
        <w:t>报</w:t>
      </w:r>
      <w:r w:rsidR="00747E15" w:rsidRPr="00437C59">
        <w:rPr>
          <w:rFonts w:asciiTheme="minorEastAsia" w:eastAsiaTheme="minorEastAsia" w:hAnsiTheme="minorEastAsia" w:hint="eastAsia"/>
          <w:b/>
          <w:color w:val="000000"/>
          <w:sz w:val="32"/>
          <w:szCs w:val="32"/>
        </w:rPr>
        <w:t>告</w:t>
      </w:r>
    </w:p>
    <w:p w:rsidR="00747E15" w:rsidRPr="00437C59" w:rsidRDefault="00747E15" w:rsidP="00C61B7B">
      <w:pPr>
        <w:spacing w:line="480" w:lineRule="exact"/>
        <w:ind w:firstLineChars="200" w:firstLine="420"/>
        <w:jc w:val="center"/>
        <w:rPr>
          <w:rFonts w:asciiTheme="minorEastAsia" w:eastAsiaTheme="minorEastAsia" w:hAnsiTheme="minorEastAsia"/>
          <w:color w:val="000000"/>
          <w:szCs w:val="21"/>
        </w:rPr>
      </w:pPr>
      <w:r w:rsidRPr="00437C59">
        <w:rPr>
          <w:rFonts w:asciiTheme="minorEastAsia" w:eastAsiaTheme="minorEastAsia" w:hAnsiTheme="minorEastAsia" w:hint="eastAsia"/>
          <w:color w:val="000000"/>
          <w:szCs w:val="21"/>
        </w:rPr>
        <w:t>报告日：</w:t>
      </w:r>
      <w:r w:rsidR="009F02D6">
        <w:rPr>
          <w:rFonts w:asciiTheme="minorEastAsia" w:eastAsiaTheme="minorEastAsia" w:hAnsiTheme="minorEastAsia" w:hint="eastAsia"/>
          <w:color w:val="000000"/>
          <w:szCs w:val="21"/>
        </w:rPr>
        <w:t>2020</w:t>
      </w:r>
      <w:r w:rsidRPr="00437C59">
        <w:rPr>
          <w:rFonts w:asciiTheme="minorEastAsia" w:eastAsiaTheme="minorEastAsia" w:hAnsiTheme="minorEastAsia" w:hint="eastAsia"/>
          <w:color w:val="000000"/>
          <w:szCs w:val="21"/>
        </w:rPr>
        <w:t>年</w:t>
      </w:r>
      <w:r w:rsidR="009F02D6">
        <w:rPr>
          <w:rFonts w:asciiTheme="minorEastAsia" w:eastAsiaTheme="minorEastAsia" w:hAnsiTheme="minorEastAsia" w:hint="eastAsia"/>
          <w:color w:val="000000"/>
          <w:szCs w:val="21"/>
        </w:rPr>
        <w:t>3</w:t>
      </w:r>
      <w:r w:rsidRPr="00437C59">
        <w:rPr>
          <w:rFonts w:asciiTheme="minorEastAsia" w:eastAsiaTheme="minorEastAsia" w:hAnsiTheme="minorEastAsia" w:hint="eastAsia"/>
          <w:color w:val="000000"/>
          <w:szCs w:val="21"/>
        </w:rPr>
        <w:t>月</w:t>
      </w:r>
      <w:r w:rsidR="009F02D6">
        <w:rPr>
          <w:rFonts w:asciiTheme="minorEastAsia" w:eastAsiaTheme="minorEastAsia" w:hAnsiTheme="minorEastAsia" w:hint="eastAsia"/>
          <w:color w:val="000000"/>
          <w:szCs w:val="21"/>
        </w:rPr>
        <w:t>31</w:t>
      </w:r>
      <w:r w:rsidRPr="00437C59">
        <w:rPr>
          <w:rFonts w:asciiTheme="minorEastAsia" w:eastAsiaTheme="minorEastAsia" w:hAnsiTheme="minorEastAsia" w:hint="eastAsia"/>
          <w:color w:val="000000"/>
          <w:szCs w:val="21"/>
        </w:rPr>
        <w:t>日</w:t>
      </w:r>
    </w:p>
    <w:p w:rsidR="002F02E2" w:rsidRPr="00437C59" w:rsidRDefault="002C72A6" w:rsidP="002C72A6">
      <w:pPr>
        <w:ind w:firstLineChars="200" w:firstLine="560"/>
        <w:rPr>
          <w:rFonts w:asciiTheme="minorEastAsia" w:eastAsiaTheme="minorEastAsia" w:hAnsiTheme="minorEastAsia"/>
          <w:color w:val="000000"/>
          <w:sz w:val="28"/>
          <w:szCs w:val="28"/>
        </w:rPr>
      </w:pPr>
      <w:r w:rsidRPr="002C72A6">
        <w:rPr>
          <w:rFonts w:asciiTheme="minorEastAsia" w:eastAsiaTheme="minorEastAsia" w:hAnsiTheme="minorEastAsia" w:hint="eastAsia"/>
          <w:color w:val="000000"/>
          <w:sz w:val="28"/>
          <w:szCs w:val="28"/>
        </w:rPr>
        <w:t>中国建设银行云南省分行“乾元-稳赢” (公募) 2019年第1期封闭式净值型人民币</w:t>
      </w:r>
      <w:r w:rsidR="00A22C1A" w:rsidRPr="00437C59">
        <w:rPr>
          <w:rFonts w:asciiTheme="minorEastAsia" w:eastAsiaTheme="minorEastAsia" w:hAnsiTheme="minorEastAsia" w:hint="eastAsia"/>
          <w:color w:val="000000"/>
          <w:sz w:val="28"/>
          <w:szCs w:val="28"/>
        </w:rPr>
        <w:t>理财产品</w:t>
      </w:r>
      <w:r w:rsidR="00747E15" w:rsidRPr="00437C59">
        <w:rPr>
          <w:rFonts w:asciiTheme="minorEastAsia" w:eastAsiaTheme="minorEastAsia" w:hAnsiTheme="minorEastAsia" w:hint="eastAsia"/>
          <w:color w:val="000000"/>
          <w:sz w:val="28"/>
          <w:szCs w:val="28"/>
        </w:rPr>
        <w:t>于</w:t>
      </w:r>
      <w:r>
        <w:rPr>
          <w:rFonts w:asciiTheme="minorEastAsia" w:eastAsiaTheme="minorEastAsia" w:hAnsiTheme="minorEastAsia" w:hint="eastAsia"/>
          <w:color w:val="000000"/>
          <w:sz w:val="28"/>
          <w:szCs w:val="28"/>
        </w:rPr>
        <w:t>2019</w:t>
      </w:r>
      <w:r w:rsidR="00E31B0A" w:rsidRPr="00E31B0A">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8</w:t>
      </w:r>
      <w:r w:rsidR="00E31B0A" w:rsidRPr="00E31B0A">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30</w:t>
      </w:r>
      <w:r w:rsidR="00E31B0A" w:rsidRPr="00E31B0A">
        <w:rPr>
          <w:rFonts w:asciiTheme="minorEastAsia" w:eastAsiaTheme="minorEastAsia" w:hAnsiTheme="minorEastAsia" w:hint="eastAsia"/>
          <w:color w:val="000000"/>
          <w:sz w:val="28"/>
          <w:szCs w:val="28"/>
        </w:rPr>
        <w:t>日</w:t>
      </w:r>
      <w:r w:rsidR="00747E15" w:rsidRPr="00437C59">
        <w:rPr>
          <w:rFonts w:asciiTheme="minorEastAsia" w:eastAsiaTheme="minorEastAsia" w:hAnsiTheme="minorEastAsia" w:hint="eastAsia"/>
          <w:color w:val="000000"/>
          <w:sz w:val="28"/>
          <w:szCs w:val="28"/>
        </w:rPr>
        <w:t>正式成立。截至报告日，本产品规模为</w:t>
      </w:r>
      <w:r w:rsidR="009F02D6" w:rsidRPr="009F02D6">
        <w:rPr>
          <w:rFonts w:asciiTheme="minorEastAsia" w:eastAsiaTheme="minorEastAsia" w:hAnsiTheme="minorEastAsia"/>
          <w:color w:val="000000"/>
          <w:sz w:val="28"/>
          <w:szCs w:val="28"/>
        </w:rPr>
        <w:t>307520341.57</w:t>
      </w:r>
      <w:r w:rsidR="00747E15" w:rsidRPr="00437C59">
        <w:rPr>
          <w:rFonts w:asciiTheme="minorEastAsia" w:eastAsiaTheme="minorEastAsia" w:hAnsiTheme="minorEastAsia" w:hint="eastAsia"/>
          <w:color w:val="000000"/>
          <w:sz w:val="28"/>
          <w:szCs w:val="28"/>
        </w:rPr>
        <w:t>元</w:t>
      </w:r>
      <w:r w:rsidR="004C54B2">
        <w:rPr>
          <w:rFonts w:asciiTheme="minorEastAsia" w:eastAsiaTheme="minorEastAsia" w:hAnsiTheme="minorEastAsia" w:hint="eastAsia"/>
          <w:color w:val="000000"/>
          <w:sz w:val="28"/>
          <w:szCs w:val="28"/>
        </w:rPr>
        <w:t>，</w:t>
      </w:r>
      <w:r w:rsidR="004C54B2" w:rsidRPr="00FD1228">
        <w:rPr>
          <w:rFonts w:asciiTheme="minorEastAsia" w:eastAsiaTheme="minorEastAsia" w:hAnsiTheme="minorEastAsia" w:hint="eastAsia"/>
          <w:color w:val="000000"/>
          <w:sz w:val="28"/>
          <w:szCs w:val="28"/>
        </w:rPr>
        <w:t>杠杆水平符合监管要求</w:t>
      </w:r>
      <w:r w:rsidR="00747E15" w:rsidRPr="00FD1228">
        <w:rPr>
          <w:rFonts w:asciiTheme="minorEastAsia" w:eastAsiaTheme="minorEastAsia" w:hAnsiTheme="minorEastAsia" w:hint="eastAsia"/>
          <w:color w:val="000000"/>
          <w:sz w:val="28"/>
          <w:szCs w:val="28"/>
        </w:rPr>
        <w:t>。</w:t>
      </w:r>
      <w:r w:rsidR="002F02E2" w:rsidRPr="00FD1228">
        <w:rPr>
          <w:rFonts w:asciiTheme="minorEastAsia" w:eastAsiaTheme="minorEastAsia" w:hAnsiTheme="minorEastAsia" w:cs="Arial" w:hint="eastAsia"/>
          <w:vanish/>
          <w:kern w:val="0"/>
          <w:sz w:val="16"/>
          <w:szCs w:val="16"/>
        </w:rPr>
        <w:t>窗体顶端</w:t>
      </w:r>
    </w:p>
    <w:p w:rsidR="00747E15" w:rsidRPr="00437C59" w:rsidRDefault="002F02E2" w:rsidP="00C61B7B">
      <w:pPr>
        <w:spacing w:line="480" w:lineRule="exact"/>
        <w:ind w:firstLineChars="200" w:firstLine="320"/>
        <w:outlineLvl w:val="0"/>
        <w:rPr>
          <w:rFonts w:asciiTheme="minorEastAsia" w:eastAsiaTheme="minorEastAsia" w:hAnsiTheme="minorEastAsia"/>
          <w:b/>
          <w:color w:val="000000"/>
          <w:sz w:val="28"/>
          <w:szCs w:val="28"/>
        </w:rPr>
      </w:pPr>
      <w:r w:rsidRPr="00437C59">
        <w:rPr>
          <w:rFonts w:asciiTheme="minorEastAsia" w:eastAsiaTheme="minorEastAsia" w:hAnsiTheme="minorEastAsia" w:cs="Arial" w:hint="eastAsia"/>
          <w:vanish/>
          <w:kern w:val="0"/>
          <w:sz w:val="16"/>
          <w:szCs w:val="16"/>
        </w:rPr>
        <w:t>窗体底端</w:t>
      </w:r>
      <w:r w:rsidR="00747E15" w:rsidRPr="00437C59">
        <w:rPr>
          <w:rFonts w:asciiTheme="minorEastAsia" w:eastAsiaTheme="minorEastAsia" w:hAnsiTheme="minorEastAsia" w:hint="eastAsia"/>
          <w:b/>
          <w:color w:val="000000"/>
          <w:sz w:val="28"/>
          <w:szCs w:val="28"/>
        </w:rPr>
        <w:t>一、报告期投资者实际收益率</w:t>
      </w:r>
    </w:p>
    <w:p w:rsidR="001C51CC" w:rsidRDefault="003D3F6C" w:rsidP="003E4D8B">
      <w:pPr>
        <w:ind w:firstLineChars="200" w:firstLine="560"/>
        <w:jc w:val="left"/>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截至</w:t>
      </w:r>
      <w:r w:rsidR="009F02D6">
        <w:rPr>
          <w:rFonts w:asciiTheme="minorEastAsia" w:eastAsiaTheme="minorEastAsia" w:hAnsiTheme="minorEastAsia" w:hint="eastAsia"/>
          <w:color w:val="000000"/>
          <w:sz w:val="28"/>
          <w:szCs w:val="28"/>
        </w:rPr>
        <w:t>2020</w:t>
      </w:r>
      <w:r w:rsidRPr="00437C59">
        <w:rPr>
          <w:rFonts w:asciiTheme="minorEastAsia" w:eastAsiaTheme="minorEastAsia" w:hAnsiTheme="minorEastAsia" w:hint="eastAsia"/>
          <w:color w:val="000000"/>
          <w:sz w:val="28"/>
          <w:szCs w:val="28"/>
        </w:rPr>
        <w:t>年</w:t>
      </w:r>
      <w:r w:rsidR="009F02D6">
        <w:rPr>
          <w:rFonts w:asciiTheme="minorEastAsia" w:eastAsiaTheme="minorEastAsia" w:hAnsiTheme="minorEastAsia" w:hint="eastAsia"/>
          <w:color w:val="000000"/>
          <w:sz w:val="28"/>
          <w:szCs w:val="28"/>
        </w:rPr>
        <w:t>3</w:t>
      </w:r>
      <w:r w:rsidRPr="00437C59">
        <w:rPr>
          <w:rFonts w:asciiTheme="minorEastAsia" w:eastAsiaTheme="minorEastAsia" w:hAnsiTheme="minorEastAsia" w:hint="eastAsia"/>
          <w:color w:val="000000"/>
          <w:sz w:val="28"/>
          <w:szCs w:val="28"/>
        </w:rPr>
        <w:t>月</w:t>
      </w:r>
      <w:r w:rsidR="009F02D6">
        <w:rPr>
          <w:rFonts w:asciiTheme="minorEastAsia" w:eastAsiaTheme="minorEastAsia" w:hAnsiTheme="minorEastAsia" w:hint="eastAsia"/>
          <w:color w:val="000000"/>
          <w:sz w:val="28"/>
          <w:szCs w:val="28"/>
        </w:rPr>
        <w:t>31</w:t>
      </w:r>
      <w:r w:rsidRPr="00437C59">
        <w:rPr>
          <w:rFonts w:asciiTheme="minorEastAsia" w:eastAsiaTheme="minorEastAsia" w:hAnsiTheme="minorEastAsia" w:hint="eastAsia"/>
          <w:color w:val="000000"/>
          <w:sz w:val="28"/>
          <w:szCs w:val="28"/>
        </w:rPr>
        <w:t>日，产品单位净值为</w:t>
      </w:r>
      <w:r w:rsidR="009F02D6" w:rsidRPr="009F02D6">
        <w:rPr>
          <w:rFonts w:asciiTheme="minorEastAsia" w:eastAsiaTheme="minorEastAsia" w:hAnsiTheme="minorEastAsia"/>
          <w:color w:val="000000"/>
          <w:sz w:val="28"/>
          <w:szCs w:val="28"/>
        </w:rPr>
        <w:t>1.027122</w:t>
      </w:r>
      <w:r w:rsidRPr="00437C59">
        <w:rPr>
          <w:rFonts w:asciiTheme="minorEastAsia" w:eastAsiaTheme="minorEastAsia" w:hAnsiTheme="minorEastAsia" w:hint="eastAsia"/>
          <w:color w:val="000000"/>
          <w:sz w:val="28"/>
          <w:szCs w:val="28"/>
        </w:rPr>
        <w:t>。本报告期内，产品</w:t>
      </w:r>
      <w:r w:rsidR="000B6D04">
        <w:rPr>
          <w:rFonts w:asciiTheme="minorEastAsia" w:eastAsiaTheme="minorEastAsia" w:hAnsiTheme="minorEastAsia" w:hint="eastAsia"/>
          <w:color w:val="000000"/>
          <w:sz w:val="28"/>
          <w:szCs w:val="28"/>
        </w:rPr>
        <w:t>存续规模</w:t>
      </w:r>
      <w:r w:rsidRPr="00437C59">
        <w:rPr>
          <w:rFonts w:asciiTheme="minorEastAsia" w:eastAsiaTheme="minorEastAsia" w:hAnsiTheme="minorEastAsia" w:hint="eastAsia"/>
          <w:color w:val="000000"/>
          <w:sz w:val="28"/>
          <w:szCs w:val="28"/>
        </w:rPr>
        <w:t>如下：</w:t>
      </w:r>
    </w:p>
    <w:tbl>
      <w:tblPr>
        <w:tblW w:w="0" w:type="auto"/>
        <w:jc w:val="center"/>
        <w:tblInd w:w="-1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2"/>
        <w:gridCol w:w="1684"/>
        <w:gridCol w:w="1701"/>
        <w:gridCol w:w="1701"/>
      </w:tblGrid>
      <w:tr w:rsidR="00062AD3" w:rsidTr="006965E7">
        <w:trPr>
          <w:trHeight w:val="285"/>
          <w:jc w:val="center"/>
        </w:trPr>
        <w:tc>
          <w:tcPr>
            <w:tcW w:w="3302" w:type="dxa"/>
            <w:vAlign w:val="center"/>
          </w:tcPr>
          <w:p w:rsidR="00062AD3" w:rsidRDefault="00062AD3" w:rsidP="000C4729">
            <w:pPr>
              <w:spacing w:line="360" w:lineRule="auto"/>
              <w:jc w:val="center"/>
              <w:rPr>
                <w:rFonts w:ascii="宋体" w:hAnsi="宋体" w:cs="宋体"/>
                <w:kern w:val="0"/>
              </w:rPr>
            </w:pPr>
            <w:r>
              <w:rPr>
                <w:rFonts w:ascii="宋体" w:hAnsi="宋体" w:cs="宋体" w:hint="eastAsia"/>
                <w:kern w:val="0"/>
              </w:rPr>
              <w:t>日期</w:t>
            </w:r>
          </w:p>
        </w:tc>
        <w:tc>
          <w:tcPr>
            <w:tcW w:w="1684" w:type="dxa"/>
            <w:vAlign w:val="center"/>
          </w:tcPr>
          <w:p w:rsidR="00062AD3" w:rsidRDefault="00062AD3" w:rsidP="000C4729">
            <w:pPr>
              <w:spacing w:line="360" w:lineRule="auto"/>
              <w:jc w:val="center"/>
              <w:rPr>
                <w:rFonts w:ascii="宋体" w:hAnsi="宋体" w:cs="宋体"/>
                <w:kern w:val="0"/>
              </w:rPr>
            </w:pPr>
            <w:r>
              <w:rPr>
                <w:rFonts w:ascii="宋体" w:hAnsi="宋体" w:cs="宋体" w:hint="eastAsia"/>
                <w:kern w:val="0"/>
              </w:rPr>
              <w:t>份额净值</w:t>
            </w:r>
          </w:p>
        </w:tc>
        <w:tc>
          <w:tcPr>
            <w:tcW w:w="1701" w:type="dxa"/>
            <w:vAlign w:val="center"/>
          </w:tcPr>
          <w:p w:rsidR="00062AD3" w:rsidRDefault="00062AD3" w:rsidP="000C4729">
            <w:pPr>
              <w:spacing w:line="360" w:lineRule="auto"/>
              <w:jc w:val="center"/>
              <w:rPr>
                <w:rFonts w:ascii="宋体" w:hAnsi="宋体" w:cs="宋体"/>
                <w:kern w:val="0"/>
              </w:rPr>
            </w:pPr>
            <w:r>
              <w:rPr>
                <w:rFonts w:ascii="宋体" w:hAnsi="宋体" w:cs="宋体" w:hint="eastAsia"/>
                <w:kern w:val="0"/>
              </w:rPr>
              <w:t>累计净值</w:t>
            </w:r>
          </w:p>
        </w:tc>
        <w:tc>
          <w:tcPr>
            <w:tcW w:w="1701" w:type="dxa"/>
            <w:vAlign w:val="center"/>
          </w:tcPr>
          <w:p w:rsidR="00062AD3" w:rsidRDefault="00062AD3" w:rsidP="000C4729">
            <w:pPr>
              <w:spacing w:line="360" w:lineRule="auto"/>
              <w:jc w:val="center"/>
              <w:rPr>
                <w:rFonts w:ascii="宋体" w:hAnsi="宋体" w:cs="宋体"/>
                <w:kern w:val="0"/>
              </w:rPr>
            </w:pPr>
            <w:r>
              <w:rPr>
                <w:rFonts w:ascii="宋体" w:hAnsi="宋体" w:cs="宋体" w:hint="eastAsia"/>
                <w:kern w:val="0"/>
              </w:rPr>
              <w:t>资产净值</w:t>
            </w:r>
          </w:p>
        </w:tc>
      </w:tr>
      <w:tr w:rsidR="009F02D6" w:rsidTr="00F361FE">
        <w:trPr>
          <w:trHeight w:val="285"/>
          <w:jc w:val="center"/>
        </w:trPr>
        <w:tc>
          <w:tcPr>
            <w:tcW w:w="3302" w:type="dxa"/>
          </w:tcPr>
          <w:p w:rsidR="009F02D6" w:rsidRDefault="009F02D6" w:rsidP="00DF1029">
            <w:pPr>
              <w:spacing w:line="360" w:lineRule="auto"/>
              <w:jc w:val="center"/>
              <w:rPr>
                <w:rFonts w:ascii="宋体" w:hAnsi="宋体" w:cs="宋体" w:hint="eastAsia"/>
                <w:kern w:val="0"/>
              </w:rPr>
            </w:pPr>
            <w:r>
              <w:rPr>
                <w:rFonts w:ascii="宋体" w:hAnsi="宋体" w:cs="宋体" w:hint="eastAsia"/>
                <w:kern w:val="0"/>
              </w:rPr>
              <w:t>2020年3月31日</w:t>
            </w:r>
          </w:p>
        </w:tc>
        <w:tc>
          <w:tcPr>
            <w:tcW w:w="1684" w:type="dxa"/>
            <w:vAlign w:val="center"/>
          </w:tcPr>
          <w:p w:rsidR="009F02D6" w:rsidRDefault="00BC0288" w:rsidP="000C4729">
            <w:pPr>
              <w:spacing w:line="360" w:lineRule="auto"/>
              <w:jc w:val="center"/>
              <w:rPr>
                <w:rFonts w:ascii="宋体" w:hAnsi="宋体" w:cs="宋体"/>
                <w:kern w:val="0"/>
              </w:rPr>
            </w:pPr>
            <w:r w:rsidRPr="00BC0288">
              <w:rPr>
                <w:rFonts w:ascii="宋体" w:hAnsi="宋体" w:cs="宋体"/>
                <w:kern w:val="0"/>
              </w:rPr>
              <w:t>1.027122</w:t>
            </w:r>
          </w:p>
        </w:tc>
        <w:tc>
          <w:tcPr>
            <w:tcW w:w="1701" w:type="dxa"/>
            <w:vAlign w:val="center"/>
          </w:tcPr>
          <w:p w:rsidR="009F02D6" w:rsidRDefault="00BC0288" w:rsidP="000C4729">
            <w:pPr>
              <w:spacing w:line="360" w:lineRule="auto"/>
              <w:jc w:val="center"/>
              <w:rPr>
                <w:rFonts w:ascii="宋体" w:hAnsi="宋体" w:cs="宋体"/>
                <w:kern w:val="0"/>
              </w:rPr>
            </w:pPr>
            <w:r w:rsidRPr="00BC0288">
              <w:rPr>
                <w:rFonts w:ascii="宋体" w:hAnsi="宋体" w:cs="宋体"/>
                <w:kern w:val="0"/>
              </w:rPr>
              <w:t>1.027122</w:t>
            </w:r>
          </w:p>
        </w:tc>
        <w:tc>
          <w:tcPr>
            <w:tcW w:w="1701" w:type="dxa"/>
            <w:vAlign w:val="center"/>
          </w:tcPr>
          <w:p w:rsidR="009F02D6" w:rsidRDefault="00BC0288" w:rsidP="000C4729">
            <w:pPr>
              <w:spacing w:line="360" w:lineRule="auto"/>
              <w:jc w:val="center"/>
              <w:rPr>
                <w:rFonts w:ascii="宋体" w:hAnsi="宋体" w:cs="宋体"/>
                <w:kern w:val="0"/>
              </w:rPr>
            </w:pPr>
            <w:r w:rsidRPr="00BC0288">
              <w:rPr>
                <w:rFonts w:ascii="宋体" w:hAnsi="宋体" w:cs="宋体"/>
                <w:kern w:val="0"/>
              </w:rPr>
              <w:t>307520341.57</w:t>
            </w:r>
          </w:p>
        </w:tc>
      </w:tr>
      <w:tr w:rsidR="00DF1029" w:rsidTr="00F361FE">
        <w:trPr>
          <w:trHeight w:val="285"/>
          <w:jc w:val="center"/>
        </w:trPr>
        <w:tc>
          <w:tcPr>
            <w:tcW w:w="3302" w:type="dxa"/>
          </w:tcPr>
          <w:p w:rsidR="00DF1029" w:rsidRPr="00DF1029" w:rsidRDefault="009F02D6" w:rsidP="00DF1029">
            <w:pPr>
              <w:spacing w:line="360" w:lineRule="auto"/>
              <w:jc w:val="center"/>
              <w:rPr>
                <w:rFonts w:ascii="宋体" w:hAnsi="宋体" w:cs="宋体"/>
                <w:kern w:val="0"/>
              </w:rPr>
            </w:pPr>
            <w:r>
              <w:rPr>
                <w:rFonts w:ascii="宋体" w:hAnsi="宋体" w:cs="宋体" w:hint="eastAsia"/>
                <w:kern w:val="0"/>
              </w:rPr>
              <w:t>2020</w:t>
            </w:r>
            <w:r w:rsidR="00DF1029" w:rsidRPr="00DF1029">
              <w:rPr>
                <w:rFonts w:ascii="宋体" w:hAnsi="宋体" w:cs="宋体" w:hint="eastAsia"/>
                <w:kern w:val="0"/>
              </w:rPr>
              <w:t>年</w:t>
            </w:r>
            <w:r>
              <w:rPr>
                <w:rFonts w:ascii="宋体" w:hAnsi="宋体" w:cs="宋体" w:hint="eastAsia"/>
                <w:kern w:val="0"/>
              </w:rPr>
              <w:t>2</w:t>
            </w:r>
            <w:r w:rsidR="00DF1029" w:rsidRPr="00DF1029">
              <w:rPr>
                <w:rFonts w:ascii="宋体" w:hAnsi="宋体" w:cs="宋体" w:hint="eastAsia"/>
                <w:kern w:val="0"/>
              </w:rPr>
              <w:t>月</w:t>
            </w:r>
            <w:r>
              <w:rPr>
                <w:rFonts w:ascii="宋体" w:hAnsi="宋体" w:cs="宋体" w:hint="eastAsia"/>
                <w:kern w:val="0"/>
              </w:rPr>
              <w:t>29</w:t>
            </w:r>
            <w:r w:rsidR="00DF1029" w:rsidRPr="00DF1029">
              <w:rPr>
                <w:rFonts w:ascii="宋体" w:hAnsi="宋体" w:cs="宋体" w:hint="eastAsia"/>
                <w:kern w:val="0"/>
              </w:rPr>
              <w:t>日</w:t>
            </w:r>
          </w:p>
        </w:tc>
        <w:tc>
          <w:tcPr>
            <w:tcW w:w="1684" w:type="dxa"/>
            <w:vAlign w:val="center"/>
          </w:tcPr>
          <w:p w:rsidR="00DF1029" w:rsidRDefault="00BC0288" w:rsidP="000C4729">
            <w:pPr>
              <w:spacing w:line="360" w:lineRule="auto"/>
              <w:jc w:val="center"/>
              <w:rPr>
                <w:rFonts w:ascii="宋体" w:hAnsi="宋体" w:cs="宋体"/>
                <w:kern w:val="0"/>
              </w:rPr>
            </w:pPr>
            <w:r w:rsidRPr="00BC0288">
              <w:rPr>
                <w:rFonts w:ascii="宋体" w:hAnsi="宋体" w:cs="宋体"/>
                <w:kern w:val="0"/>
              </w:rPr>
              <w:t>1.023212</w:t>
            </w:r>
          </w:p>
        </w:tc>
        <w:tc>
          <w:tcPr>
            <w:tcW w:w="1701" w:type="dxa"/>
            <w:vAlign w:val="center"/>
          </w:tcPr>
          <w:p w:rsidR="00DF1029" w:rsidRDefault="00BC0288" w:rsidP="000C4729">
            <w:pPr>
              <w:spacing w:line="360" w:lineRule="auto"/>
              <w:jc w:val="center"/>
              <w:rPr>
                <w:rFonts w:ascii="宋体" w:hAnsi="宋体" w:cs="宋体"/>
                <w:kern w:val="0"/>
              </w:rPr>
            </w:pPr>
            <w:r w:rsidRPr="00BC0288">
              <w:rPr>
                <w:rFonts w:ascii="宋体" w:hAnsi="宋体" w:cs="宋体"/>
                <w:kern w:val="0"/>
              </w:rPr>
              <w:t>1.023212</w:t>
            </w:r>
          </w:p>
        </w:tc>
        <w:tc>
          <w:tcPr>
            <w:tcW w:w="1701" w:type="dxa"/>
            <w:vAlign w:val="center"/>
          </w:tcPr>
          <w:p w:rsidR="00DF1029" w:rsidRDefault="00BC0288" w:rsidP="000C4729">
            <w:pPr>
              <w:spacing w:line="360" w:lineRule="auto"/>
              <w:jc w:val="center"/>
              <w:rPr>
                <w:rFonts w:ascii="宋体" w:hAnsi="宋体" w:cs="宋体"/>
                <w:kern w:val="0"/>
              </w:rPr>
            </w:pPr>
            <w:r w:rsidRPr="00BC0288">
              <w:rPr>
                <w:rFonts w:ascii="宋体" w:hAnsi="宋体" w:cs="宋体"/>
                <w:kern w:val="0"/>
              </w:rPr>
              <w:t>306349625.96</w:t>
            </w:r>
          </w:p>
        </w:tc>
      </w:tr>
      <w:tr w:rsidR="00DF1029" w:rsidTr="00F361FE">
        <w:trPr>
          <w:trHeight w:val="285"/>
          <w:jc w:val="center"/>
        </w:trPr>
        <w:tc>
          <w:tcPr>
            <w:tcW w:w="3302" w:type="dxa"/>
          </w:tcPr>
          <w:p w:rsidR="00DF1029" w:rsidRPr="00DF1029" w:rsidRDefault="009F02D6" w:rsidP="00DF1029">
            <w:pPr>
              <w:spacing w:line="360" w:lineRule="auto"/>
              <w:jc w:val="center"/>
              <w:rPr>
                <w:rFonts w:ascii="宋体" w:hAnsi="宋体" w:cs="宋体"/>
                <w:kern w:val="0"/>
              </w:rPr>
            </w:pPr>
            <w:r>
              <w:rPr>
                <w:rFonts w:ascii="宋体" w:hAnsi="宋体" w:cs="宋体" w:hint="eastAsia"/>
                <w:kern w:val="0"/>
              </w:rPr>
              <w:t>2020</w:t>
            </w:r>
            <w:r w:rsidR="00DF1029" w:rsidRPr="00DF1029">
              <w:rPr>
                <w:rFonts w:ascii="宋体" w:hAnsi="宋体" w:cs="宋体" w:hint="eastAsia"/>
                <w:kern w:val="0"/>
              </w:rPr>
              <w:t>年</w:t>
            </w:r>
            <w:r>
              <w:rPr>
                <w:rFonts w:ascii="宋体" w:hAnsi="宋体" w:cs="宋体" w:hint="eastAsia"/>
                <w:kern w:val="0"/>
              </w:rPr>
              <w:t>1</w:t>
            </w:r>
            <w:r w:rsidR="00DF1029" w:rsidRPr="00DF1029">
              <w:rPr>
                <w:rFonts w:ascii="宋体" w:hAnsi="宋体" w:cs="宋体" w:hint="eastAsia"/>
                <w:kern w:val="0"/>
              </w:rPr>
              <w:t>月31日</w:t>
            </w:r>
          </w:p>
        </w:tc>
        <w:tc>
          <w:tcPr>
            <w:tcW w:w="1684" w:type="dxa"/>
            <w:vAlign w:val="center"/>
          </w:tcPr>
          <w:p w:rsidR="00DF1029" w:rsidRDefault="00BC0288" w:rsidP="005A08AB">
            <w:pPr>
              <w:spacing w:line="360" w:lineRule="auto"/>
              <w:jc w:val="center"/>
              <w:rPr>
                <w:rFonts w:ascii="宋体" w:hAnsi="宋体" w:cs="宋体"/>
                <w:kern w:val="0"/>
              </w:rPr>
            </w:pPr>
            <w:r w:rsidRPr="00BC0288">
              <w:rPr>
                <w:rFonts w:ascii="宋体" w:hAnsi="宋体" w:cs="宋体"/>
                <w:kern w:val="0"/>
              </w:rPr>
              <w:t>1.019553</w:t>
            </w:r>
          </w:p>
        </w:tc>
        <w:tc>
          <w:tcPr>
            <w:tcW w:w="1701" w:type="dxa"/>
            <w:vAlign w:val="center"/>
          </w:tcPr>
          <w:p w:rsidR="00DF1029" w:rsidRDefault="00BC0288" w:rsidP="005A08AB">
            <w:pPr>
              <w:spacing w:line="360" w:lineRule="auto"/>
              <w:jc w:val="center"/>
              <w:rPr>
                <w:rFonts w:ascii="宋体" w:hAnsi="宋体" w:cs="宋体"/>
                <w:kern w:val="0"/>
              </w:rPr>
            </w:pPr>
            <w:r w:rsidRPr="00BC0288">
              <w:rPr>
                <w:rFonts w:ascii="宋体" w:hAnsi="宋体" w:cs="宋体"/>
                <w:kern w:val="0"/>
              </w:rPr>
              <w:t>1.019553</w:t>
            </w:r>
          </w:p>
        </w:tc>
        <w:tc>
          <w:tcPr>
            <w:tcW w:w="1701" w:type="dxa"/>
            <w:vAlign w:val="center"/>
          </w:tcPr>
          <w:p w:rsidR="00DF1029" w:rsidRDefault="00BC0288" w:rsidP="005A08AB">
            <w:pPr>
              <w:spacing w:line="360" w:lineRule="auto"/>
              <w:jc w:val="center"/>
              <w:rPr>
                <w:rFonts w:ascii="宋体" w:hAnsi="宋体" w:cs="宋体"/>
                <w:kern w:val="0"/>
              </w:rPr>
            </w:pPr>
            <w:r w:rsidRPr="00BC0288">
              <w:rPr>
                <w:rFonts w:ascii="宋体" w:hAnsi="宋体" w:cs="宋体"/>
                <w:kern w:val="0"/>
              </w:rPr>
              <w:t>305254146.81</w:t>
            </w:r>
          </w:p>
        </w:tc>
      </w:tr>
      <w:tr w:rsidR="009F02D6" w:rsidTr="00071E96">
        <w:trPr>
          <w:trHeight w:val="285"/>
          <w:jc w:val="center"/>
        </w:trPr>
        <w:tc>
          <w:tcPr>
            <w:tcW w:w="3302"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2019年12月31日</w:t>
            </w:r>
          </w:p>
        </w:tc>
        <w:tc>
          <w:tcPr>
            <w:tcW w:w="1684"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1.015643</w:t>
            </w:r>
          </w:p>
        </w:tc>
        <w:tc>
          <w:tcPr>
            <w:tcW w:w="1701"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1.015643</w:t>
            </w:r>
          </w:p>
        </w:tc>
        <w:tc>
          <w:tcPr>
            <w:tcW w:w="1701"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304083431.22</w:t>
            </w:r>
          </w:p>
        </w:tc>
      </w:tr>
      <w:tr w:rsidR="009F02D6" w:rsidTr="00071E96">
        <w:trPr>
          <w:trHeight w:val="285"/>
          <w:jc w:val="center"/>
        </w:trPr>
        <w:tc>
          <w:tcPr>
            <w:tcW w:w="3302"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2019年11月30日</w:t>
            </w:r>
          </w:p>
        </w:tc>
        <w:tc>
          <w:tcPr>
            <w:tcW w:w="1684"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1.011732</w:t>
            </w:r>
          </w:p>
        </w:tc>
        <w:tc>
          <w:tcPr>
            <w:tcW w:w="1701"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1.011732</w:t>
            </w:r>
          </w:p>
        </w:tc>
        <w:tc>
          <w:tcPr>
            <w:tcW w:w="1701"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302912431.20</w:t>
            </w:r>
          </w:p>
        </w:tc>
      </w:tr>
      <w:tr w:rsidR="009F02D6" w:rsidTr="00071E96">
        <w:trPr>
          <w:trHeight w:val="285"/>
          <w:jc w:val="center"/>
        </w:trPr>
        <w:tc>
          <w:tcPr>
            <w:tcW w:w="3302"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2019年10月31日</w:t>
            </w:r>
          </w:p>
        </w:tc>
        <w:tc>
          <w:tcPr>
            <w:tcW w:w="1684"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1.007947</w:t>
            </w:r>
          </w:p>
        </w:tc>
        <w:tc>
          <w:tcPr>
            <w:tcW w:w="1701"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1.007947</w:t>
            </w:r>
          </w:p>
        </w:tc>
        <w:tc>
          <w:tcPr>
            <w:tcW w:w="1701"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301779333.82</w:t>
            </w:r>
          </w:p>
        </w:tc>
      </w:tr>
      <w:tr w:rsidR="009F02D6" w:rsidTr="00071E96">
        <w:trPr>
          <w:trHeight w:val="285"/>
          <w:jc w:val="center"/>
        </w:trPr>
        <w:tc>
          <w:tcPr>
            <w:tcW w:w="3302"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2019年9月30日</w:t>
            </w:r>
          </w:p>
        </w:tc>
        <w:tc>
          <w:tcPr>
            <w:tcW w:w="1684"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1.004037</w:t>
            </w:r>
          </w:p>
        </w:tc>
        <w:tc>
          <w:tcPr>
            <w:tcW w:w="1701"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1.004037</w:t>
            </w:r>
          </w:p>
        </w:tc>
        <w:tc>
          <w:tcPr>
            <w:tcW w:w="1701"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300608618.28</w:t>
            </w:r>
          </w:p>
        </w:tc>
      </w:tr>
      <w:tr w:rsidR="009F02D6" w:rsidTr="00071E96">
        <w:trPr>
          <w:trHeight w:val="285"/>
          <w:jc w:val="center"/>
        </w:trPr>
        <w:tc>
          <w:tcPr>
            <w:tcW w:w="3302"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2019年8月31日</w:t>
            </w:r>
          </w:p>
        </w:tc>
        <w:tc>
          <w:tcPr>
            <w:tcW w:w="1684"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1.000252</w:t>
            </w:r>
          </w:p>
        </w:tc>
        <w:tc>
          <w:tcPr>
            <w:tcW w:w="1701" w:type="dxa"/>
          </w:tcPr>
          <w:p w:rsidR="009F02D6" w:rsidRPr="009F02D6" w:rsidRDefault="009F02D6" w:rsidP="009F02D6">
            <w:pPr>
              <w:spacing w:line="360" w:lineRule="auto"/>
              <w:jc w:val="center"/>
              <w:rPr>
                <w:rFonts w:ascii="宋体" w:hAnsi="宋体" w:cs="宋体" w:hint="eastAsia"/>
                <w:kern w:val="0"/>
              </w:rPr>
            </w:pPr>
            <w:r w:rsidRPr="009F02D6">
              <w:rPr>
                <w:rFonts w:ascii="宋体" w:hAnsi="宋体" w:cs="宋体" w:hint="eastAsia"/>
                <w:kern w:val="0"/>
              </w:rPr>
              <w:t>1.000252</w:t>
            </w:r>
          </w:p>
        </w:tc>
        <w:tc>
          <w:tcPr>
            <w:tcW w:w="1701" w:type="dxa"/>
          </w:tcPr>
          <w:p w:rsidR="009F02D6" w:rsidRPr="009F02D6" w:rsidRDefault="009F02D6" w:rsidP="009F02D6">
            <w:pPr>
              <w:spacing w:line="360" w:lineRule="auto"/>
              <w:jc w:val="center"/>
              <w:rPr>
                <w:rFonts w:ascii="宋体" w:hAnsi="宋体" w:cs="宋体"/>
                <w:kern w:val="0"/>
              </w:rPr>
            </w:pPr>
            <w:r w:rsidRPr="009F02D6">
              <w:rPr>
                <w:rFonts w:ascii="宋体" w:hAnsi="宋体" w:cs="宋体" w:hint="eastAsia"/>
                <w:kern w:val="0"/>
              </w:rPr>
              <w:t>299475520.86</w:t>
            </w:r>
          </w:p>
        </w:tc>
      </w:tr>
    </w:tbl>
    <w:p w:rsidR="00747E15" w:rsidRPr="00E31B0A" w:rsidRDefault="003D3F6C" w:rsidP="003E4D8B">
      <w:pPr>
        <w:ind w:firstLineChars="200" w:firstLine="560"/>
        <w:jc w:val="left"/>
        <w:rPr>
          <w:rFonts w:asciiTheme="minorEastAsia" w:eastAsiaTheme="minorEastAsia" w:hAnsiTheme="minorEastAsia"/>
          <w:color w:val="000000"/>
          <w:sz w:val="28"/>
          <w:szCs w:val="28"/>
        </w:rPr>
      </w:pPr>
      <w:r w:rsidRPr="00E31B0A">
        <w:rPr>
          <w:rFonts w:asciiTheme="minorEastAsia" w:eastAsiaTheme="minorEastAsia" w:hAnsiTheme="minorEastAsia" w:hint="eastAsia"/>
          <w:color w:val="000000"/>
          <w:sz w:val="28"/>
          <w:szCs w:val="28"/>
        </w:rPr>
        <w:t>相关收益及计算方法，请具体查阅对应的收益率调整公告及产品说明书。</w:t>
      </w:r>
    </w:p>
    <w:p w:rsidR="00747E15" w:rsidRPr="00E31B0A" w:rsidRDefault="00747E15" w:rsidP="00735338">
      <w:pPr>
        <w:spacing w:afterLines="50" w:after="156" w:line="480" w:lineRule="exact"/>
        <w:ind w:firstLineChars="200" w:firstLine="562"/>
        <w:outlineLvl w:val="0"/>
        <w:rPr>
          <w:rFonts w:asciiTheme="minorEastAsia" w:eastAsiaTheme="minorEastAsia" w:hAnsiTheme="minorEastAsia"/>
          <w:b/>
          <w:color w:val="000000"/>
          <w:sz w:val="28"/>
          <w:szCs w:val="28"/>
        </w:rPr>
      </w:pPr>
      <w:r w:rsidRPr="00E31B0A">
        <w:rPr>
          <w:rFonts w:asciiTheme="minorEastAsia" w:eastAsiaTheme="minorEastAsia" w:hAnsiTheme="minorEastAsia" w:hint="eastAsia"/>
          <w:b/>
          <w:color w:val="000000"/>
          <w:sz w:val="28"/>
          <w:szCs w:val="28"/>
        </w:rPr>
        <w:t>二、产品投资组合详细情况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418"/>
        <w:gridCol w:w="1417"/>
        <w:gridCol w:w="1418"/>
        <w:gridCol w:w="1326"/>
      </w:tblGrid>
      <w:tr w:rsidR="00F33FC4" w:rsidRPr="00E31B0A" w:rsidTr="00892297">
        <w:trPr>
          <w:trHeight w:val="589"/>
        </w:trPr>
        <w:tc>
          <w:tcPr>
            <w:tcW w:w="2943" w:type="dxa"/>
            <w:vAlign w:val="center"/>
          </w:tcPr>
          <w:p w:rsidR="00F33FC4" w:rsidRPr="00E31B0A" w:rsidRDefault="00F33FC4" w:rsidP="003E4D8B">
            <w:pPr>
              <w:jc w:val="center"/>
              <w:rPr>
                <w:rFonts w:asciiTheme="minorEastAsia" w:eastAsiaTheme="minorEastAsia" w:hAnsiTheme="minorEastAsia"/>
                <w:szCs w:val="21"/>
              </w:rPr>
            </w:pPr>
            <w:r w:rsidRPr="00E31B0A">
              <w:rPr>
                <w:rFonts w:asciiTheme="minorEastAsia" w:eastAsiaTheme="minorEastAsia" w:hAnsiTheme="minorEastAsia" w:hint="eastAsia"/>
                <w:szCs w:val="21"/>
              </w:rPr>
              <w:t>产品名称</w:t>
            </w:r>
          </w:p>
        </w:tc>
        <w:tc>
          <w:tcPr>
            <w:tcW w:w="1418" w:type="dxa"/>
            <w:vAlign w:val="center"/>
          </w:tcPr>
          <w:p w:rsidR="00F33FC4" w:rsidRPr="00E31B0A" w:rsidRDefault="00F33FC4" w:rsidP="003E4D8B">
            <w:pPr>
              <w:jc w:val="center"/>
              <w:rPr>
                <w:rFonts w:asciiTheme="minorEastAsia" w:eastAsiaTheme="minorEastAsia" w:hAnsiTheme="minorEastAsia"/>
                <w:szCs w:val="21"/>
              </w:rPr>
            </w:pPr>
            <w:r w:rsidRPr="00E31B0A">
              <w:rPr>
                <w:rFonts w:asciiTheme="minorEastAsia" w:eastAsiaTheme="minorEastAsia" w:hAnsiTheme="minorEastAsia" w:hint="eastAsia"/>
                <w:szCs w:val="21"/>
              </w:rPr>
              <w:t>募集起始日</w:t>
            </w:r>
          </w:p>
        </w:tc>
        <w:tc>
          <w:tcPr>
            <w:tcW w:w="1417" w:type="dxa"/>
            <w:vAlign w:val="center"/>
          </w:tcPr>
          <w:p w:rsidR="00F33FC4" w:rsidRPr="00E31B0A" w:rsidRDefault="00F33FC4" w:rsidP="003E4D8B">
            <w:pPr>
              <w:jc w:val="center"/>
              <w:rPr>
                <w:rFonts w:asciiTheme="minorEastAsia" w:eastAsiaTheme="minorEastAsia" w:hAnsiTheme="minorEastAsia"/>
                <w:szCs w:val="21"/>
              </w:rPr>
            </w:pPr>
            <w:r w:rsidRPr="00E31B0A">
              <w:rPr>
                <w:rFonts w:asciiTheme="minorEastAsia" w:eastAsiaTheme="minorEastAsia" w:hAnsiTheme="minorEastAsia" w:hint="eastAsia"/>
                <w:szCs w:val="21"/>
              </w:rPr>
              <w:t>募集结束日</w:t>
            </w:r>
          </w:p>
        </w:tc>
        <w:tc>
          <w:tcPr>
            <w:tcW w:w="1418" w:type="dxa"/>
            <w:vAlign w:val="center"/>
          </w:tcPr>
          <w:p w:rsidR="00F33FC4" w:rsidRPr="00E31B0A" w:rsidRDefault="00A735E4" w:rsidP="003E4D8B">
            <w:pPr>
              <w:jc w:val="center"/>
              <w:rPr>
                <w:rFonts w:asciiTheme="minorEastAsia" w:eastAsiaTheme="minorEastAsia" w:hAnsiTheme="minorEastAsia"/>
                <w:szCs w:val="21"/>
              </w:rPr>
            </w:pPr>
            <w:r w:rsidRPr="00E31B0A">
              <w:rPr>
                <w:rFonts w:asciiTheme="minorEastAsia" w:eastAsiaTheme="minorEastAsia" w:hAnsiTheme="minorEastAsia" w:cs="宋体" w:hint="eastAsia"/>
                <w:color w:val="000000"/>
                <w:kern w:val="0"/>
                <w:szCs w:val="21"/>
              </w:rPr>
              <w:t>产品成立日</w:t>
            </w:r>
          </w:p>
        </w:tc>
        <w:tc>
          <w:tcPr>
            <w:tcW w:w="1326" w:type="dxa"/>
            <w:vAlign w:val="center"/>
          </w:tcPr>
          <w:p w:rsidR="00F33FC4" w:rsidRPr="00E31B0A" w:rsidRDefault="00A735E4" w:rsidP="003E4D8B">
            <w:pPr>
              <w:jc w:val="center"/>
              <w:rPr>
                <w:rFonts w:asciiTheme="minorEastAsia" w:eastAsiaTheme="minorEastAsia" w:hAnsiTheme="minorEastAsia"/>
                <w:szCs w:val="21"/>
              </w:rPr>
            </w:pPr>
            <w:r w:rsidRPr="00E31B0A">
              <w:rPr>
                <w:rFonts w:asciiTheme="minorEastAsia" w:eastAsiaTheme="minorEastAsia" w:hAnsiTheme="minorEastAsia" w:cs="宋体" w:hint="eastAsia"/>
                <w:color w:val="000000"/>
                <w:kern w:val="0"/>
                <w:szCs w:val="21"/>
              </w:rPr>
              <w:t>产品到期日</w:t>
            </w:r>
          </w:p>
        </w:tc>
      </w:tr>
      <w:tr w:rsidR="00E31B0A" w:rsidRPr="00E31B0A" w:rsidTr="00892297">
        <w:trPr>
          <w:trHeight w:val="519"/>
        </w:trPr>
        <w:tc>
          <w:tcPr>
            <w:tcW w:w="2943" w:type="dxa"/>
            <w:vAlign w:val="center"/>
          </w:tcPr>
          <w:p w:rsidR="00E31B0A" w:rsidRPr="00E31B0A" w:rsidRDefault="002C72A6" w:rsidP="00E31B0A">
            <w:pPr>
              <w:jc w:val="center"/>
              <w:rPr>
                <w:rFonts w:asciiTheme="minorEastAsia" w:eastAsiaTheme="minorEastAsia" w:hAnsiTheme="minorEastAsia"/>
                <w:szCs w:val="21"/>
              </w:rPr>
            </w:pPr>
            <w:r w:rsidRPr="002C72A6">
              <w:rPr>
                <w:rFonts w:asciiTheme="minorEastAsia" w:eastAsiaTheme="minorEastAsia" w:hAnsiTheme="minorEastAsia" w:hint="eastAsia"/>
                <w:szCs w:val="21"/>
              </w:rPr>
              <w:t>中国建设银行云南省分行“乾元-稳赢” (公募) 2019年第1期封闭式固定收益类净值型</w:t>
            </w:r>
            <w:r w:rsidRPr="002C72A6">
              <w:rPr>
                <w:rFonts w:asciiTheme="minorEastAsia" w:eastAsiaTheme="minorEastAsia" w:hAnsiTheme="minorEastAsia" w:hint="eastAsia"/>
                <w:szCs w:val="21"/>
              </w:rPr>
              <w:lastRenderedPageBreak/>
              <w:t>人民币理财产品</w:t>
            </w:r>
          </w:p>
        </w:tc>
        <w:tc>
          <w:tcPr>
            <w:tcW w:w="1418" w:type="dxa"/>
            <w:vAlign w:val="center"/>
          </w:tcPr>
          <w:p w:rsidR="00E31B0A" w:rsidRPr="00E31B0A" w:rsidRDefault="002C72A6" w:rsidP="00233ACD">
            <w:pPr>
              <w:jc w:val="center"/>
              <w:rPr>
                <w:rFonts w:asciiTheme="minorEastAsia" w:eastAsiaTheme="minorEastAsia" w:hAnsiTheme="minorEastAsia" w:cs="宋体"/>
                <w:color w:val="000000"/>
                <w:szCs w:val="21"/>
              </w:rPr>
            </w:pPr>
            <w:r w:rsidRPr="002C72A6">
              <w:rPr>
                <w:rFonts w:asciiTheme="minorEastAsia" w:eastAsiaTheme="minorEastAsia" w:hAnsiTheme="minorEastAsia" w:cs="宋体"/>
                <w:color w:val="000000"/>
                <w:szCs w:val="21"/>
              </w:rPr>
              <w:lastRenderedPageBreak/>
              <w:t>2019-8-23</w:t>
            </w:r>
          </w:p>
        </w:tc>
        <w:tc>
          <w:tcPr>
            <w:tcW w:w="1417" w:type="dxa"/>
            <w:vAlign w:val="center"/>
          </w:tcPr>
          <w:p w:rsidR="00E31B0A" w:rsidRPr="00E31B0A" w:rsidRDefault="002C72A6" w:rsidP="00233ACD">
            <w:pPr>
              <w:jc w:val="center"/>
              <w:rPr>
                <w:rFonts w:asciiTheme="minorEastAsia" w:eastAsiaTheme="minorEastAsia" w:hAnsiTheme="minorEastAsia" w:cs="宋体"/>
                <w:color w:val="000000"/>
                <w:szCs w:val="21"/>
              </w:rPr>
            </w:pPr>
            <w:r w:rsidRPr="002C72A6">
              <w:rPr>
                <w:rFonts w:asciiTheme="minorEastAsia" w:eastAsiaTheme="minorEastAsia" w:hAnsiTheme="minorEastAsia" w:cs="宋体"/>
                <w:color w:val="000000"/>
                <w:szCs w:val="21"/>
              </w:rPr>
              <w:t>2019-8-29</w:t>
            </w:r>
          </w:p>
        </w:tc>
        <w:tc>
          <w:tcPr>
            <w:tcW w:w="1418" w:type="dxa"/>
            <w:vAlign w:val="center"/>
          </w:tcPr>
          <w:p w:rsidR="00E31B0A" w:rsidRPr="00E31B0A" w:rsidRDefault="002C72A6" w:rsidP="00233ACD">
            <w:pPr>
              <w:jc w:val="center"/>
              <w:rPr>
                <w:rFonts w:asciiTheme="minorEastAsia" w:eastAsiaTheme="minorEastAsia" w:hAnsiTheme="minorEastAsia" w:cs="宋体"/>
                <w:color w:val="000000"/>
                <w:szCs w:val="21"/>
              </w:rPr>
            </w:pPr>
            <w:r w:rsidRPr="002C72A6">
              <w:rPr>
                <w:rFonts w:asciiTheme="minorEastAsia" w:eastAsiaTheme="minorEastAsia" w:hAnsiTheme="minorEastAsia" w:cs="宋体"/>
                <w:color w:val="000000"/>
                <w:szCs w:val="21"/>
              </w:rPr>
              <w:t>2019-8-30</w:t>
            </w:r>
          </w:p>
        </w:tc>
        <w:tc>
          <w:tcPr>
            <w:tcW w:w="1326" w:type="dxa"/>
            <w:vAlign w:val="center"/>
          </w:tcPr>
          <w:p w:rsidR="00E31B0A" w:rsidRPr="00E31B0A" w:rsidRDefault="002C72A6" w:rsidP="00233ACD">
            <w:pPr>
              <w:jc w:val="center"/>
              <w:rPr>
                <w:rFonts w:asciiTheme="minorEastAsia" w:eastAsiaTheme="minorEastAsia" w:hAnsiTheme="minorEastAsia" w:cs="宋体"/>
                <w:color w:val="000000"/>
                <w:szCs w:val="21"/>
              </w:rPr>
            </w:pPr>
            <w:r w:rsidRPr="002C72A6">
              <w:rPr>
                <w:rFonts w:asciiTheme="minorEastAsia" w:eastAsiaTheme="minorEastAsia" w:hAnsiTheme="minorEastAsia" w:cs="宋体"/>
                <w:color w:val="000000"/>
                <w:szCs w:val="21"/>
              </w:rPr>
              <w:t>2020-12-25</w:t>
            </w:r>
          </w:p>
        </w:tc>
      </w:tr>
    </w:tbl>
    <w:p w:rsidR="00F33FC4" w:rsidRPr="00437C59" w:rsidRDefault="00F33FC4" w:rsidP="003E4D8B">
      <w:pPr>
        <w:widowControl/>
        <w:shd w:val="clear" w:color="auto" w:fill="FFFFFF"/>
        <w:spacing w:before="240" w:line="360" w:lineRule="auto"/>
        <w:ind w:firstLineChars="200" w:firstLine="560"/>
        <w:jc w:val="left"/>
        <w:rPr>
          <w:rFonts w:asciiTheme="minorEastAsia" w:eastAsiaTheme="minorEastAsia" w:hAnsiTheme="minorEastAsia" w:cs="Arial"/>
          <w:color w:val="000000"/>
          <w:kern w:val="0"/>
          <w:sz w:val="28"/>
          <w:szCs w:val="28"/>
        </w:rPr>
      </w:pPr>
      <w:r w:rsidRPr="00437C59">
        <w:rPr>
          <w:rFonts w:asciiTheme="minorEastAsia" w:eastAsiaTheme="minorEastAsia" w:hAnsiTheme="minorEastAsia" w:hint="eastAsia"/>
          <w:color w:val="000000"/>
          <w:sz w:val="28"/>
          <w:szCs w:val="28"/>
        </w:rPr>
        <w:lastRenderedPageBreak/>
        <w:t>理财产品管理人：</w:t>
      </w:r>
      <w:r w:rsidR="002C72A6" w:rsidRPr="002C72A6">
        <w:rPr>
          <w:rFonts w:asciiTheme="minorEastAsia" w:eastAsiaTheme="minorEastAsia" w:hAnsiTheme="minorEastAsia" w:cs="Arial" w:hint="eastAsia"/>
          <w:color w:val="000000"/>
          <w:kern w:val="0"/>
          <w:sz w:val="28"/>
          <w:szCs w:val="28"/>
        </w:rPr>
        <w:t>中国建设银行股份有限公司云南省分行</w:t>
      </w:r>
    </w:p>
    <w:p w:rsidR="00F33FC4" w:rsidRPr="00437C59" w:rsidRDefault="00F33FC4" w:rsidP="00C61B7B">
      <w:pPr>
        <w:widowControl/>
        <w:shd w:val="clear" w:color="auto" w:fill="FFFFFF"/>
        <w:spacing w:line="360" w:lineRule="auto"/>
        <w:ind w:firstLineChars="200" w:firstLine="560"/>
        <w:jc w:val="left"/>
        <w:rPr>
          <w:rFonts w:asciiTheme="minorEastAsia" w:eastAsiaTheme="minorEastAsia" w:hAnsiTheme="minorEastAsia" w:cs="Arial"/>
          <w:color w:val="000000"/>
          <w:kern w:val="0"/>
          <w:sz w:val="28"/>
          <w:szCs w:val="28"/>
        </w:rPr>
      </w:pPr>
      <w:r w:rsidRPr="00437C59">
        <w:rPr>
          <w:rFonts w:asciiTheme="minorEastAsia" w:eastAsiaTheme="minorEastAsia" w:hAnsiTheme="minorEastAsia" w:hint="eastAsia"/>
          <w:color w:val="000000"/>
          <w:sz w:val="28"/>
          <w:szCs w:val="28"/>
        </w:rPr>
        <w:t>理财产品托管人：</w:t>
      </w:r>
      <w:r w:rsidR="002C72A6" w:rsidRPr="002C72A6">
        <w:rPr>
          <w:rFonts w:asciiTheme="minorEastAsia" w:eastAsiaTheme="minorEastAsia" w:hAnsiTheme="minorEastAsia" w:cs="Arial" w:hint="eastAsia"/>
          <w:color w:val="000000"/>
          <w:kern w:val="0"/>
          <w:sz w:val="28"/>
          <w:szCs w:val="28"/>
        </w:rPr>
        <w:t>中国建设银行股份有限公司云南省分行</w:t>
      </w:r>
    </w:p>
    <w:p w:rsidR="00892297" w:rsidRDefault="00747E15" w:rsidP="00892297">
      <w:pPr>
        <w:spacing w:afterLines="50" w:after="156" w:line="480" w:lineRule="exact"/>
        <w:ind w:firstLineChars="200" w:firstLine="562"/>
        <w:outlineLvl w:val="0"/>
        <w:rPr>
          <w:rFonts w:asciiTheme="minorEastAsia" w:eastAsiaTheme="minorEastAsia" w:hAnsiTheme="minorEastAsia"/>
          <w:b/>
          <w:color w:val="000000"/>
          <w:sz w:val="28"/>
          <w:szCs w:val="28"/>
        </w:rPr>
      </w:pPr>
      <w:r w:rsidRPr="00437C59">
        <w:rPr>
          <w:rFonts w:asciiTheme="minorEastAsia" w:eastAsiaTheme="minorEastAsia" w:hAnsiTheme="minorEastAsia" w:hint="eastAsia"/>
          <w:b/>
          <w:color w:val="000000"/>
          <w:sz w:val="28"/>
          <w:szCs w:val="28"/>
        </w:rPr>
        <w:t>三、</w:t>
      </w:r>
      <w:r w:rsidR="00892297">
        <w:rPr>
          <w:rFonts w:asciiTheme="minorEastAsia" w:eastAsiaTheme="minorEastAsia" w:hAnsiTheme="minorEastAsia" w:hint="eastAsia"/>
          <w:b/>
          <w:color w:val="000000"/>
          <w:sz w:val="28"/>
          <w:szCs w:val="28"/>
        </w:rPr>
        <w:t>期末资产持仓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843"/>
        <w:gridCol w:w="1418"/>
        <w:gridCol w:w="1842"/>
      </w:tblGrid>
      <w:tr w:rsidR="00892297" w:rsidTr="00CF3B2C">
        <w:trPr>
          <w:trHeight w:val="285"/>
          <w:jc w:val="center"/>
        </w:trPr>
        <w:tc>
          <w:tcPr>
            <w:tcW w:w="2547" w:type="dxa"/>
            <w:vAlign w:val="center"/>
          </w:tcPr>
          <w:p w:rsidR="00892297" w:rsidRDefault="00892297" w:rsidP="005A08AB">
            <w:pPr>
              <w:spacing w:line="360" w:lineRule="auto"/>
              <w:jc w:val="center"/>
              <w:rPr>
                <w:rFonts w:ascii="宋体" w:hAnsi="宋体" w:cs="宋体"/>
                <w:kern w:val="0"/>
              </w:rPr>
            </w:pPr>
            <w:r>
              <w:rPr>
                <w:rFonts w:ascii="宋体" w:hAnsi="宋体" w:cs="宋体" w:hint="eastAsia"/>
                <w:kern w:val="0"/>
              </w:rPr>
              <w:t>资产类别</w:t>
            </w:r>
          </w:p>
        </w:tc>
        <w:tc>
          <w:tcPr>
            <w:tcW w:w="1417" w:type="dxa"/>
            <w:vAlign w:val="center"/>
          </w:tcPr>
          <w:p w:rsidR="00892297" w:rsidRDefault="00892297" w:rsidP="005A08AB">
            <w:pPr>
              <w:spacing w:line="360" w:lineRule="auto"/>
              <w:jc w:val="center"/>
              <w:rPr>
                <w:rFonts w:ascii="宋体" w:hAnsi="宋体" w:cs="宋体"/>
                <w:kern w:val="0"/>
              </w:rPr>
            </w:pPr>
            <w:r>
              <w:rPr>
                <w:rFonts w:ascii="宋体" w:hAnsi="宋体" w:cs="宋体" w:hint="eastAsia"/>
                <w:kern w:val="0"/>
              </w:rPr>
              <w:t>穿透前金额</w:t>
            </w:r>
          </w:p>
          <w:p w:rsidR="00892297" w:rsidRDefault="00892297" w:rsidP="005A08AB">
            <w:pPr>
              <w:spacing w:line="360" w:lineRule="auto"/>
              <w:jc w:val="center"/>
              <w:rPr>
                <w:rFonts w:ascii="宋体" w:hAnsi="宋体" w:cs="宋体"/>
                <w:kern w:val="0"/>
              </w:rPr>
            </w:pPr>
            <w:r>
              <w:rPr>
                <w:rFonts w:ascii="宋体" w:hAnsi="宋体" w:cs="宋体" w:hint="eastAsia"/>
                <w:kern w:val="0"/>
              </w:rPr>
              <w:t>（万元）</w:t>
            </w:r>
          </w:p>
        </w:tc>
        <w:tc>
          <w:tcPr>
            <w:tcW w:w="1843" w:type="dxa"/>
            <w:vAlign w:val="center"/>
          </w:tcPr>
          <w:p w:rsidR="00892297" w:rsidRDefault="00892297" w:rsidP="005A08AB">
            <w:pPr>
              <w:spacing w:line="360" w:lineRule="auto"/>
              <w:jc w:val="center"/>
              <w:rPr>
                <w:rFonts w:ascii="宋体" w:hAnsi="宋体" w:cs="宋体"/>
                <w:kern w:val="0"/>
              </w:rPr>
            </w:pPr>
            <w:r>
              <w:rPr>
                <w:rFonts w:ascii="宋体" w:hAnsi="宋体" w:cs="宋体" w:hint="eastAsia"/>
                <w:kern w:val="0"/>
              </w:rPr>
              <w:t>占全部产品总资产的比例（%）</w:t>
            </w:r>
          </w:p>
        </w:tc>
        <w:tc>
          <w:tcPr>
            <w:tcW w:w="1418" w:type="dxa"/>
            <w:vAlign w:val="center"/>
          </w:tcPr>
          <w:p w:rsidR="00892297" w:rsidRDefault="00892297" w:rsidP="005A08AB">
            <w:pPr>
              <w:spacing w:line="360" w:lineRule="auto"/>
              <w:jc w:val="center"/>
              <w:rPr>
                <w:rFonts w:ascii="宋体" w:hAnsi="宋体" w:cs="宋体"/>
                <w:kern w:val="0"/>
              </w:rPr>
            </w:pPr>
            <w:r>
              <w:rPr>
                <w:rFonts w:ascii="宋体" w:hAnsi="宋体" w:cs="宋体" w:hint="eastAsia"/>
                <w:kern w:val="0"/>
              </w:rPr>
              <w:t>穿透后金额</w:t>
            </w:r>
          </w:p>
          <w:p w:rsidR="00892297" w:rsidRDefault="00892297" w:rsidP="005A08AB">
            <w:pPr>
              <w:spacing w:line="360" w:lineRule="auto"/>
              <w:jc w:val="center"/>
              <w:rPr>
                <w:rFonts w:ascii="宋体" w:hAnsi="宋体" w:cs="宋体"/>
                <w:kern w:val="0"/>
              </w:rPr>
            </w:pPr>
            <w:r>
              <w:rPr>
                <w:rFonts w:ascii="宋体" w:hAnsi="宋体" w:cs="宋体" w:hint="eastAsia"/>
                <w:kern w:val="0"/>
              </w:rPr>
              <w:t>（万元）</w:t>
            </w:r>
          </w:p>
        </w:tc>
        <w:tc>
          <w:tcPr>
            <w:tcW w:w="1842" w:type="dxa"/>
          </w:tcPr>
          <w:p w:rsidR="00892297" w:rsidRDefault="00892297" w:rsidP="005A08AB">
            <w:pPr>
              <w:spacing w:line="360" w:lineRule="auto"/>
              <w:jc w:val="center"/>
              <w:rPr>
                <w:rFonts w:ascii="宋体" w:hAnsi="宋体" w:cs="宋体"/>
                <w:kern w:val="0"/>
              </w:rPr>
            </w:pPr>
            <w:r>
              <w:rPr>
                <w:rFonts w:ascii="宋体" w:hAnsi="宋体" w:cs="宋体" w:hint="eastAsia"/>
                <w:kern w:val="0"/>
              </w:rPr>
              <w:t>占全部产品总资产的比例（%）</w:t>
            </w:r>
          </w:p>
        </w:tc>
      </w:tr>
      <w:tr w:rsidR="00892297" w:rsidTr="00CF3B2C">
        <w:trPr>
          <w:trHeight w:val="285"/>
          <w:jc w:val="center"/>
        </w:trPr>
        <w:tc>
          <w:tcPr>
            <w:tcW w:w="2547" w:type="dxa"/>
            <w:vAlign w:val="center"/>
          </w:tcPr>
          <w:p w:rsidR="00892297" w:rsidRDefault="00892297" w:rsidP="005A08AB">
            <w:pPr>
              <w:spacing w:line="360" w:lineRule="auto"/>
              <w:rPr>
                <w:rFonts w:ascii="宋体" w:hAnsi="宋体" w:cs="宋体"/>
                <w:kern w:val="0"/>
              </w:rPr>
            </w:pPr>
            <w:r>
              <w:rPr>
                <w:rFonts w:ascii="宋体" w:hAnsi="宋体" w:cs="宋体" w:hint="eastAsia"/>
                <w:kern w:val="0"/>
              </w:rPr>
              <w:t>非标准化债权类资产</w:t>
            </w:r>
          </w:p>
        </w:tc>
        <w:tc>
          <w:tcPr>
            <w:tcW w:w="1417" w:type="dxa"/>
            <w:vAlign w:val="center"/>
          </w:tcPr>
          <w:p w:rsidR="00892297" w:rsidRDefault="00781DB6" w:rsidP="005A08AB">
            <w:pPr>
              <w:spacing w:line="360" w:lineRule="auto"/>
              <w:rPr>
                <w:rFonts w:ascii="宋体" w:hAnsi="宋体" w:cs="宋体"/>
                <w:kern w:val="0"/>
              </w:rPr>
            </w:pPr>
            <w:r>
              <w:rPr>
                <w:rFonts w:ascii="宋体" w:hAnsi="宋体" w:cs="宋体" w:hint="eastAsia"/>
                <w:kern w:val="0"/>
              </w:rPr>
              <w:t>29940.00</w:t>
            </w:r>
          </w:p>
        </w:tc>
        <w:tc>
          <w:tcPr>
            <w:tcW w:w="1843" w:type="dxa"/>
            <w:vAlign w:val="center"/>
          </w:tcPr>
          <w:p w:rsidR="00892297" w:rsidRDefault="002C72A6" w:rsidP="005A08AB">
            <w:pPr>
              <w:spacing w:line="360" w:lineRule="auto"/>
              <w:jc w:val="center"/>
              <w:rPr>
                <w:rFonts w:ascii="宋体" w:hAnsi="宋体" w:cs="宋体"/>
                <w:kern w:val="0"/>
              </w:rPr>
            </w:pPr>
            <w:r>
              <w:rPr>
                <w:rFonts w:ascii="宋体" w:hAnsi="宋体" w:cs="宋体" w:hint="eastAsia"/>
                <w:kern w:val="0"/>
              </w:rPr>
              <w:t>100</w:t>
            </w:r>
          </w:p>
        </w:tc>
        <w:tc>
          <w:tcPr>
            <w:tcW w:w="1418" w:type="dxa"/>
            <w:vAlign w:val="center"/>
          </w:tcPr>
          <w:p w:rsidR="00892297" w:rsidRDefault="00781DB6" w:rsidP="005A08AB">
            <w:pPr>
              <w:spacing w:line="360" w:lineRule="auto"/>
              <w:jc w:val="center"/>
              <w:rPr>
                <w:rFonts w:ascii="宋体" w:hAnsi="宋体" w:cs="宋体"/>
                <w:kern w:val="0"/>
              </w:rPr>
            </w:pPr>
            <w:r>
              <w:rPr>
                <w:rFonts w:ascii="宋体" w:hAnsi="宋体" w:cs="宋体" w:hint="eastAsia"/>
                <w:kern w:val="0"/>
              </w:rPr>
              <w:t>29940.00</w:t>
            </w:r>
          </w:p>
        </w:tc>
        <w:tc>
          <w:tcPr>
            <w:tcW w:w="1842" w:type="dxa"/>
          </w:tcPr>
          <w:p w:rsidR="00892297" w:rsidRDefault="002C72A6" w:rsidP="005A08AB">
            <w:pPr>
              <w:spacing w:line="360" w:lineRule="auto"/>
              <w:jc w:val="center"/>
              <w:rPr>
                <w:rFonts w:ascii="宋体" w:hAnsi="宋体" w:cs="宋体"/>
                <w:kern w:val="0"/>
              </w:rPr>
            </w:pPr>
            <w:r>
              <w:rPr>
                <w:rFonts w:ascii="宋体" w:hAnsi="宋体" w:cs="宋体" w:hint="eastAsia"/>
                <w:kern w:val="0"/>
              </w:rPr>
              <w:t>100</w:t>
            </w:r>
          </w:p>
        </w:tc>
      </w:tr>
      <w:tr w:rsidR="00892297" w:rsidTr="00CF3B2C">
        <w:trPr>
          <w:trHeight w:val="285"/>
          <w:jc w:val="center"/>
        </w:trPr>
        <w:tc>
          <w:tcPr>
            <w:tcW w:w="2547" w:type="dxa"/>
            <w:vAlign w:val="center"/>
          </w:tcPr>
          <w:p w:rsidR="00892297" w:rsidRDefault="00892297" w:rsidP="005A08AB">
            <w:pPr>
              <w:spacing w:line="360" w:lineRule="auto"/>
              <w:rPr>
                <w:rFonts w:ascii="宋体" w:hAnsi="宋体" w:cs="宋体"/>
                <w:kern w:val="0"/>
              </w:rPr>
            </w:pPr>
            <w:r>
              <w:rPr>
                <w:rFonts w:ascii="宋体" w:hAnsi="宋体" w:cs="宋体" w:hint="eastAsia"/>
                <w:kern w:val="0"/>
              </w:rPr>
              <w:t>合计</w:t>
            </w:r>
          </w:p>
        </w:tc>
        <w:tc>
          <w:tcPr>
            <w:tcW w:w="1417" w:type="dxa"/>
            <w:vAlign w:val="center"/>
          </w:tcPr>
          <w:p w:rsidR="00892297" w:rsidRDefault="00781DB6" w:rsidP="005A08AB">
            <w:pPr>
              <w:spacing w:line="360" w:lineRule="auto"/>
              <w:rPr>
                <w:rFonts w:ascii="宋体" w:hAnsi="宋体" w:cs="宋体"/>
                <w:kern w:val="0"/>
              </w:rPr>
            </w:pPr>
            <w:r>
              <w:rPr>
                <w:rFonts w:ascii="宋体" w:hAnsi="宋体" w:cs="宋体" w:hint="eastAsia"/>
                <w:kern w:val="0"/>
              </w:rPr>
              <w:t>29940.00</w:t>
            </w:r>
          </w:p>
        </w:tc>
        <w:tc>
          <w:tcPr>
            <w:tcW w:w="1843" w:type="dxa"/>
            <w:vAlign w:val="center"/>
          </w:tcPr>
          <w:p w:rsidR="00892297" w:rsidRDefault="002C72A6" w:rsidP="005A08AB">
            <w:pPr>
              <w:spacing w:line="360" w:lineRule="auto"/>
              <w:jc w:val="center"/>
              <w:rPr>
                <w:rFonts w:ascii="宋体" w:hAnsi="宋体" w:cs="宋体"/>
                <w:kern w:val="0"/>
              </w:rPr>
            </w:pPr>
            <w:r>
              <w:rPr>
                <w:rFonts w:ascii="宋体" w:hAnsi="宋体" w:cs="宋体" w:hint="eastAsia"/>
                <w:kern w:val="0"/>
              </w:rPr>
              <w:t>100</w:t>
            </w:r>
          </w:p>
        </w:tc>
        <w:tc>
          <w:tcPr>
            <w:tcW w:w="1418" w:type="dxa"/>
            <w:vAlign w:val="center"/>
          </w:tcPr>
          <w:p w:rsidR="00892297" w:rsidRDefault="00781DB6" w:rsidP="005A08AB">
            <w:pPr>
              <w:spacing w:line="360" w:lineRule="auto"/>
              <w:jc w:val="center"/>
              <w:rPr>
                <w:rFonts w:ascii="宋体" w:hAnsi="宋体" w:cs="宋体"/>
                <w:kern w:val="0"/>
              </w:rPr>
            </w:pPr>
            <w:r>
              <w:rPr>
                <w:rFonts w:ascii="宋体" w:hAnsi="宋体" w:cs="宋体" w:hint="eastAsia"/>
                <w:kern w:val="0"/>
              </w:rPr>
              <w:t>29940.00</w:t>
            </w:r>
          </w:p>
        </w:tc>
        <w:tc>
          <w:tcPr>
            <w:tcW w:w="1842" w:type="dxa"/>
          </w:tcPr>
          <w:p w:rsidR="00892297" w:rsidRDefault="002C72A6" w:rsidP="005A08AB">
            <w:pPr>
              <w:spacing w:line="360" w:lineRule="auto"/>
              <w:jc w:val="center"/>
              <w:rPr>
                <w:rFonts w:ascii="宋体" w:hAnsi="宋体" w:cs="宋体"/>
                <w:kern w:val="0"/>
              </w:rPr>
            </w:pPr>
            <w:r>
              <w:rPr>
                <w:rFonts w:ascii="宋体" w:hAnsi="宋体" w:cs="宋体" w:hint="eastAsia"/>
                <w:kern w:val="0"/>
              </w:rPr>
              <w:t>100</w:t>
            </w:r>
          </w:p>
        </w:tc>
      </w:tr>
    </w:tbl>
    <w:p w:rsidR="00C85517" w:rsidRDefault="00892297" w:rsidP="00735338">
      <w:pPr>
        <w:spacing w:beforeLines="50" w:before="156" w:afterLines="50" w:after="156" w:line="480" w:lineRule="exact"/>
        <w:ind w:firstLineChars="200" w:firstLine="562"/>
        <w:outlineLvl w:val="0"/>
        <w:rPr>
          <w:rFonts w:asciiTheme="minorEastAsia" w:eastAsiaTheme="minorEastAsia" w:hAnsiTheme="minorEastAsia" w:cs="宋体"/>
          <w:b/>
          <w:color w:val="0D0D0D" w:themeColor="text1" w:themeTint="F2"/>
          <w:kern w:val="0"/>
          <w:sz w:val="28"/>
          <w:szCs w:val="28"/>
        </w:rPr>
      </w:pPr>
      <w:r>
        <w:rPr>
          <w:rFonts w:asciiTheme="minorEastAsia" w:eastAsiaTheme="minorEastAsia" w:hAnsiTheme="minorEastAsia" w:hint="eastAsia"/>
          <w:b/>
          <w:color w:val="000000"/>
          <w:sz w:val="28"/>
          <w:szCs w:val="28"/>
        </w:rPr>
        <w:t>四、</w:t>
      </w:r>
      <w:r w:rsidR="005E1AF9">
        <w:rPr>
          <w:rFonts w:asciiTheme="minorEastAsia" w:eastAsiaTheme="minorEastAsia" w:hAnsiTheme="minorEastAsia" w:hint="eastAsia"/>
          <w:b/>
          <w:color w:val="000000"/>
          <w:sz w:val="28"/>
          <w:szCs w:val="28"/>
        </w:rPr>
        <w:t>前十大</w:t>
      </w:r>
      <w:r w:rsidR="00C85517">
        <w:rPr>
          <w:rFonts w:asciiTheme="minorEastAsia" w:eastAsiaTheme="minorEastAsia" w:hAnsiTheme="minorEastAsia" w:cs="宋体" w:hint="eastAsia"/>
          <w:b/>
          <w:color w:val="0D0D0D" w:themeColor="text1" w:themeTint="F2"/>
          <w:kern w:val="0"/>
          <w:sz w:val="28"/>
          <w:szCs w:val="28"/>
        </w:rPr>
        <w:t>投资资产明细</w:t>
      </w:r>
    </w:p>
    <w:tbl>
      <w:tblPr>
        <w:tblW w:w="0" w:type="auto"/>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3969"/>
        <w:gridCol w:w="1841"/>
        <w:gridCol w:w="1859"/>
      </w:tblGrid>
      <w:tr w:rsidR="00CF3B2C" w:rsidRPr="00437C59" w:rsidTr="00CF3B2C">
        <w:trPr>
          <w:trHeight w:val="589"/>
          <w:jc w:val="center"/>
        </w:trPr>
        <w:tc>
          <w:tcPr>
            <w:tcW w:w="1349" w:type="dxa"/>
            <w:vAlign w:val="center"/>
          </w:tcPr>
          <w:p w:rsidR="00CF3B2C" w:rsidRPr="00C85517" w:rsidRDefault="00CF3B2C" w:rsidP="00CF3B2C">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3969" w:type="dxa"/>
            <w:vAlign w:val="center"/>
          </w:tcPr>
          <w:p w:rsidR="00CF3B2C" w:rsidRPr="00C85517" w:rsidRDefault="00CF3B2C" w:rsidP="00C85517">
            <w:pPr>
              <w:jc w:val="center"/>
              <w:rPr>
                <w:rFonts w:asciiTheme="minorEastAsia" w:eastAsiaTheme="minorEastAsia" w:hAnsiTheme="minorEastAsia"/>
                <w:szCs w:val="21"/>
              </w:rPr>
            </w:pPr>
            <w:r w:rsidRPr="00C85517">
              <w:rPr>
                <w:rFonts w:asciiTheme="minorEastAsia" w:eastAsiaTheme="minorEastAsia" w:hAnsiTheme="minorEastAsia" w:hint="eastAsia"/>
                <w:szCs w:val="21"/>
              </w:rPr>
              <w:t>资产名称</w:t>
            </w:r>
          </w:p>
        </w:tc>
        <w:tc>
          <w:tcPr>
            <w:tcW w:w="1841" w:type="dxa"/>
            <w:vAlign w:val="center"/>
          </w:tcPr>
          <w:p w:rsidR="00CF3B2C" w:rsidRPr="00C85517" w:rsidRDefault="00CF3B2C" w:rsidP="00C85517">
            <w:pPr>
              <w:jc w:val="center"/>
              <w:rPr>
                <w:rFonts w:asciiTheme="minorEastAsia" w:eastAsiaTheme="minorEastAsia" w:hAnsiTheme="minorEastAsia"/>
                <w:szCs w:val="21"/>
              </w:rPr>
            </w:pPr>
            <w:r w:rsidRPr="00C85517">
              <w:rPr>
                <w:rFonts w:asciiTheme="minorEastAsia" w:eastAsiaTheme="minorEastAsia" w:hAnsiTheme="minorEastAsia" w:hint="eastAsia"/>
                <w:szCs w:val="21"/>
              </w:rPr>
              <w:t>资产规模</w:t>
            </w:r>
            <w:r>
              <w:rPr>
                <w:rFonts w:asciiTheme="minorEastAsia" w:eastAsiaTheme="minorEastAsia" w:hAnsiTheme="minorEastAsia" w:hint="eastAsia"/>
                <w:szCs w:val="21"/>
              </w:rPr>
              <w:t>（元）</w:t>
            </w:r>
          </w:p>
        </w:tc>
        <w:tc>
          <w:tcPr>
            <w:tcW w:w="1859" w:type="dxa"/>
            <w:vAlign w:val="center"/>
          </w:tcPr>
          <w:p w:rsidR="00CF3B2C" w:rsidRPr="00C85517" w:rsidRDefault="00CF3B2C" w:rsidP="00977AA9">
            <w:pPr>
              <w:jc w:val="center"/>
              <w:rPr>
                <w:rFonts w:asciiTheme="minorEastAsia" w:eastAsiaTheme="minorEastAsia" w:hAnsiTheme="minorEastAsia"/>
                <w:szCs w:val="21"/>
              </w:rPr>
            </w:pPr>
            <w:r w:rsidRPr="00C85517">
              <w:rPr>
                <w:rFonts w:asciiTheme="minorEastAsia" w:eastAsiaTheme="minorEastAsia" w:hAnsiTheme="minorEastAsia" w:hint="eastAsia"/>
                <w:szCs w:val="21"/>
              </w:rPr>
              <w:t>资产</w:t>
            </w:r>
            <w:r>
              <w:rPr>
                <w:rFonts w:asciiTheme="minorEastAsia" w:eastAsiaTheme="minorEastAsia" w:hAnsiTheme="minorEastAsia" w:hint="eastAsia"/>
                <w:szCs w:val="21"/>
              </w:rPr>
              <w:t>占比（%）</w:t>
            </w:r>
          </w:p>
        </w:tc>
      </w:tr>
      <w:tr w:rsidR="00CF3B2C" w:rsidRPr="00437C59" w:rsidTr="00CF3B2C">
        <w:trPr>
          <w:trHeight w:val="496"/>
          <w:jc w:val="center"/>
        </w:trPr>
        <w:tc>
          <w:tcPr>
            <w:tcW w:w="1349" w:type="dxa"/>
            <w:vAlign w:val="center"/>
          </w:tcPr>
          <w:p w:rsidR="00CF3B2C" w:rsidRPr="00C720CE" w:rsidRDefault="00CF3B2C" w:rsidP="00CF3B2C">
            <w:pPr>
              <w:jc w:val="center"/>
              <w:rPr>
                <w:rFonts w:asciiTheme="minorEastAsia" w:eastAsiaTheme="minorEastAsia" w:hAnsiTheme="minorEastAsia"/>
              </w:rPr>
            </w:pPr>
            <w:r>
              <w:rPr>
                <w:rFonts w:asciiTheme="minorEastAsia" w:eastAsiaTheme="minorEastAsia" w:hAnsiTheme="minorEastAsia" w:hint="eastAsia"/>
              </w:rPr>
              <w:t>1</w:t>
            </w:r>
          </w:p>
        </w:tc>
        <w:tc>
          <w:tcPr>
            <w:tcW w:w="3969" w:type="dxa"/>
          </w:tcPr>
          <w:p w:rsidR="00CF3B2C" w:rsidRPr="00C720CE" w:rsidRDefault="00781DB6" w:rsidP="007D356E">
            <w:pPr>
              <w:jc w:val="center"/>
              <w:rPr>
                <w:rFonts w:asciiTheme="minorEastAsia" w:eastAsiaTheme="minorEastAsia" w:hAnsiTheme="minorEastAsia"/>
              </w:rPr>
            </w:pPr>
            <w:r w:rsidRPr="00781DB6">
              <w:rPr>
                <w:rFonts w:asciiTheme="minorEastAsia" w:eastAsiaTheme="minorEastAsia" w:hAnsiTheme="minorEastAsia" w:hint="eastAsia"/>
              </w:rPr>
              <w:t>19</w:t>
            </w:r>
            <w:proofErr w:type="gramStart"/>
            <w:r w:rsidRPr="00781DB6">
              <w:rPr>
                <w:rFonts w:asciiTheme="minorEastAsia" w:eastAsiaTheme="minorEastAsia" w:hAnsiTheme="minorEastAsia" w:hint="eastAsia"/>
              </w:rPr>
              <w:t>云滇城</w:t>
            </w:r>
            <w:proofErr w:type="gramEnd"/>
            <w:r w:rsidRPr="00781DB6">
              <w:rPr>
                <w:rFonts w:asciiTheme="minorEastAsia" w:eastAsiaTheme="minorEastAsia" w:hAnsiTheme="minorEastAsia" w:hint="eastAsia"/>
              </w:rPr>
              <w:t>投AB001</w:t>
            </w:r>
          </w:p>
        </w:tc>
        <w:tc>
          <w:tcPr>
            <w:tcW w:w="1841" w:type="dxa"/>
          </w:tcPr>
          <w:p w:rsidR="00CF3B2C" w:rsidRPr="00C720CE" w:rsidRDefault="00781DB6" w:rsidP="007D356E">
            <w:pPr>
              <w:jc w:val="center"/>
              <w:rPr>
                <w:rFonts w:asciiTheme="minorEastAsia" w:eastAsiaTheme="minorEastAsia" w:hAnsiTheme="minorEastAsia"/>
              </w:rPr>
            </w:pPr>
            <w:r>
              <w:rPr>
                <w:rFonts w:asciiTheme="minorEastAsia" w:eastAsiaTheme="minorEastAsia" w:hAnsiTheme="minorEastAsia" w:hint="eastAsia"/>
              </w:rPr>
              <w:t>299400000.00</w:t>
            </w:r>
          </w:p>
        </w:tc>
        <w:tc>
          <w:tcPr>
            <w:tcW w:w="1859" w:type="dxa"/>
          </w:tcPr>
          <w:p w:rsidR="00CF3B2C" w:rsidRPr="00C720CE" w:rsidRDefault="002C72A6" w:rsidP="007D356E">
            <w:pPr>
              <w:jc w:val="center"/>
              <w:rPr>
                <w:rFonts w:asciiTheme="minorEastAsia" w:eastAsiaTheme="minorEastAsia" w:hAnsiTheme="minorEastAsia"/>
              </w:rPr>
            </w:pPr>
            <w:r>
              <w:rPr>
                <w:rFonts w:asciiTheme="minorEastAsia" w:eastAsiaTheme="minorEastAsia" w:hAnsiTheme="minorEastAsia" w:hint="eastAsia"/>
              </w:rPr>
              <w:t>100</w:t>
            </w:r>
          </w:p>
        </w:tc>
      </w:tr>
    </w:tbl>
    <w:p w:rsidR="00C85517" w:rsidRDefault="00C85517" w:rsidP="00C85517">
      <w:pPr>
        <w:spacing w:line="480" w:lineRule="exact"/>
        <w:ind w:firstLineChars="200" w:firstLine="420"/>
        <w:outlineLvl w:val="0"/>
        <w:rPr>
          <w:rFonts w:asciiTheme="minorEastAsia" w:eastAsiaTheme="minorEastAsia" w:hAnsiTheme="minorEastAsia"/>
          <w:color w:val="000000"/>
          <w:szCs w:val="21"/>
        </w:rPr>
      </w:pPr>
      <w:r w:rsidRPr="00C85517">
        <w:rPr>
          <w:rFonts w:asciiTheme="minorEastAsia" w:eastAsiaTheme="minorEastAsia" w:hAnsiTheme="minorEastAsia" w:hint="eastAsia"/>
          <w:color w:val="000000"/>
          <w:szCs w:val="21"/>
        </w:rPr>
        <w:t>注：</w:t>
      </w:r>
      <w:r>
        <w:rPr>
          <w:rFonts w:asciiTheme="minorEastAsia" w:eastAsiaTheme="minorEastAsia" w:hAnsiTheme="minorEastAsia" w:hint="eastAsia"/>
          <w:color w:val="000000"/>
          <w:szCs w:val="21"/>
        </w:rPr>
        <w:t>本表列</w:t>
      </w:r>
      <w:r w:rsidRPr="00222168">
        <w:rPr>
          <w:rFonts w:asciiTheme="minorEastAsia" w:eastAsiaTheme="minorEastAsia" w:hAnsiTheme="minorEastAsia" w:hint="eastAsia"/>
          <w:color w:val="000000"/>
          <w:szCs w:val="21"/>
        </w:rPr>
        <w:t>示</w:t>
      </w:r>
      <w:r w:rsidR="009A1651" w:rsidRPr="00222168">
        <w:rPr>
          <w:rFonts w:asciiTheme="minorEastAsia" w:eastAsiaTheme="minorEastAsia" w:hAnsiTheme="minorEastAsia" w:hint="eastAsia"/>
          <w:color w:val="000000"/>
          <w:szCs w:val="21"/>
        </w:rPr>
        <w:t>穿透后</w:t>
      </w:r>
      <w:r w:rsidRPr="00222168">
        <w:rPr>
          <w:rFonts w:asciiTheme="minorEastAsia" w:eastAsiaTheme="minorEastAsia" w:hAnsiTheme="minorEastAsia" w:hint="eastAsia"/>
          <w:color w:val="000000"/>
          <w:szCs w:val="21"/>
        </w:rPr>
        <w:t>投</w:t>
      </w:r>
      <w:r>
        <w:rPr>
          <w:rFonts w:asciiTheme="minorEastAsia" w:eastAsiaTheme="minorEastAsia" w:hAnsiTheme="minorEastAsia" w:hint="eastAsia"/>
          <w:color w:val="000000"/>
          <w:szCs w:val="21"/>
        </w:rPr>
        <w:t>资规模</w:t>
      </w:r>
      <w:proofErr w:type="gramStart"/>
      <w:r>
        <w:rPr>
          <w:rFonts w:asciiTheme="minorEastAsia" w:eastAsiaTheme="minorEastAsia" w:hAnsiTheme="minorEastAsia" w:hint="eastAsia"/>
          <w:color w:val="000000"/>
          <w:szCs w:val="21"/>
        </w:rPr>
        <w:t>占比较</w:t>
      </w:r>
      <w:proofErr w:type="gramEnd"/>
      <w:r>
        <w:rPr>
          <w:rFonts w:asciiTheme="minorEastAsia" w:eastAsiaTheme="minorEastAsia" w:hAnsiTheme="minorEastAsia" w:hint="eastAsia"/>
          <w:color w:val="000000"/>
          <w:szCs w:val="21"/>
        </w:rPr>
        <w:t>高的前十项资产</w:t>
      </w:r>
    </w:p>
    <w:p w:rsidR="00C715DB" w:rsidRDefault="00735338" w:rsidP="009E48DB">
      <w:pPr>
        <w:spacing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五</w:t>
      </w:r>
      <w:r w:rsidR="009E48DB">
        <w:rPr>
          <w:rFonts w:asciiTheme="minorEastAsia" w:eastAsiaTheme="minorEastAsia" w:hAnsiTheme="minorEastAsia" w:hint="eastAsia"/>
          <w:b/>
          <w:color w:val="000000"/>
          <w:sz w:val="28"/>
          <w:szCs w:val="28"/>
        </w:rPr>
        <w:t>、</w:t>
      </w:r>
      <w:r w:rsidR="00C715DB">
        <w:rPr>
          <w:rFonts w:asciiTheme="minorEastAsia" w:eastAsiaTheme="minorEastAsia" w:hAnsiTheme="minorEastAsia" w:hint="eastAsia"/>
          <w:b/>
          <w:color w:val="000000"/>
          <w:sz w:val="28"/>
          <w:szCs w:val="28"/>
        </w:rPr>
        <w:t>风险分析</w:t>
      </w:r>
    </w:p>
    <w:p w:rsidR="009E48DB" w:rsidRDefault="00C715DB" w:rsidP="00C715DB">
      <w:pPr>
        <w:spacing w:line="480" w:lineRule="exact"/>
        <w:ind w:firstLineChars="200" w:firstLine="560"/>
        <w:outlineLvl w:val="0"/>
        <w:rPr>
          <w:rFonts w:asciiTheme="minorEastAsia" w:eastAsiaTheme="minorEastAsia" w:hAnsiTheme="minorEastAsia"/>
          <w:b/>
          <w:color w:val="000000"/>
          <w:sz w:val="28"/>
          <w:szCs w:val="28"/>
        </w:rPr>
      </w:pPr>
      <w:r w:rsidRPr="00C715DB">
        <w:rPr>
          <w:rFonts w:asciiTheme="minorEastAsia" w:eastAsiaTheme="minorEastAsia" w:hAnsiTheme="minorEastAsia" w:hint="eastAsia"/>
          <w:color w:val="000000"/>
          <w:sz w:val="28"/>
          <w:szCs w:val="28"/>
        </w:rPr>
        <w:t>（一）</w:t>
      </w:r>
      <w:r>
        <w:rPr>
          <w:rFonts w:asciiTheme="minorEastAsia" w:eastAsiaTheme="minorEastAsia" w:hAnsiTheme="minorEastAsia" w:hint="eastAsia"/>
          <w:color w:val="000000"/>
          <w:sz w:val="28"/>
          <w:szCs w:val="28"/>
        </w:rPr>
        <w:t>产品</w:t>
      </w:r>
      <w:r w:rsidR="009E48DB" w:rsidRPr="00C715DB">
        <w:rPr>
          <w:rFonts w:asciiTheme="minorEastAsia" w:eastAsiaTheme="minorEastAsia" w:hAnsiTheme="minorEastAsia" w:hint="eastAsia"/>
          <w:color w:val="000000"/>
          <w:sz w:val="28"/>
          <w:szCs w:val="28"/>
        </w:rPr>
        <w:t>的流动性风险</w:t>
      </w:r>
      <w:r>
        <w:rPr>
          <w:rFonts w:asciiTheme="minorEastAsia" w:eastAsiaTheme="minorEastAsia" w:hAnsiTheme="minorEastAsia" w:hint="eastAsia"/>
          <w:color w:val="000000"/>
          <w:sz w:val="28"/>
          <w:szCs w:val="28"/>
        </w:rPr>
        <w:t>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715DB" w:rsidTr="005A08AB">
        <w:trPr>
          <w:trHeight w:val="506"/>
        </w:trPr>
        <w:tc>
          <w:tcPr>
            <w:tcW w:w="8613" w:type="dxa"/>
            <w:tcBorders>
              <w:top w:val="single" w:sz="4" w:space="0" w:color="auto"/>
              <w:left w:val="single" w:sz="4" w:space="0" w:color="auto"/>
              <w:bottom w:val="single" w:sz="4" w:space="0" w:color="auto"/>
              <w:right w:val="single" w:sz="4" w:space="0" w:color="auto"/>
            </w:tcBorders>
          </w:tcPr>
          <w:p w:rsidR="00C715DB" w:rsidRDefault="00C715DB" w:rsidP="00781DB6">
            <w:pPr>
              <w:spacing w:line="360" w:lineRule="auto"/>
              <w:rPr>
                <w:rFonts w:ascii="宋体" w:hAnsi="宋体"/>
                <w:sz w:val="24"/>
              </w:rPr>
            </w:pPr>
            <w:r w:rsidRPr="00C715DB">
              <w:rPr>
                <w:rFonts w:ascii="宋体" w:hAnsi="宋体" w:hint="eastAsia"/>
                <w:sz w:val="28"/>
                <w:szCs w:val="28"/>
              </w:rPr>
              <w:t>如：</w:t>
            </w:r>
            <w:r w:rsidRPr="00266DC8">
              <w:rPr>
                <w:rFonts w:asciiTheme="minorEastAsia" w:eastAsiaTheme="minorEastAsia" w:hAnsiTheme="minorEastAsia" w:hint="eastAsia"/>
                <w:color w:val="000000"/>
                <w:sz w:val="28"/>
                <w:szCs w:val="28"/>
              </w:rPr>
              <w:t>由于</w:t>
            </w:r>
            <w:r w:rsidRPr="00266DC8">
              <w:rPr>
                <w:rFonts w:asciiTheme="minorEastAsia" w:eastAsiaTheme="minorEastAsia" w:hAnsiTheme="minorEastAsia" w:cs="黑体" w:hint="eastAsia"/>
                <w:kern w:val="0"/>
                <w:sz w:val="28"/>
                <w:szCs w:val="28"/>
              </w:rPr>
              <w:t>产品存续期内，客户</w:t>
            </w:r>
            <w:r w:rsidRPr="00266DC8">
              <w:rPr>
                <w:rFonts w:asciiTheme="minorEastAsia" w:eastAsiaTheme="minorEastAsia" w:hAnsiTheme="minorEastAsia" w:hint="eastAsia"/>
                <w:sz w:val="28"/>
                <w:szCs w:val="28"/>
              </w:rPr>
              <w:t>无提前终止权，</w:t>
            </w:r>
            <w:r w:rsidRPr="00266DC8">
              <w:rPr>
                <w:rFonts w:asciiTheme="minorEastAsia" w:eastAsiaTheme="minorEastAsia" w:hAnsiTheme="minorEastAsia" w:cs="黑体" w:hint="eastAsia"/>
                <w:kern w:val="0"/>
                <w:sz w:val="28"/>
                <w:szCs w:val="28"/>
              </w:rPr>
              <w:t>不可赎回本期产品，且所投组合内所有</w:t>
            </w:r>
            <w:r>
              <w:rPr>
                <w:rFonts w:asciiTheme="minorEastAsia" w:eastAsiaTheme="minorEastAsia" w:hAnsiTheme="minorEastAsia" w:cs="黑体" w:hint="eastAsia"/>
                <w:kern w:val="0"/>
                <w:sz w:val="28"/>
                <w:szCs w:val="28"/>
              </w:rPr>
              <w:t>非标</w:t>
            </w:r>
            <w:r w:rsidRPr="00266DC8">
              <w:rPr>
                <w:rFonts w:asciiTheme="minorEastAsia" w:eastAsiaTheme="minorEastAsia" w:hAnsiTheme="minorEastAsia" w:cs="黑体" w:hint="eastAsia"/>
                <w:kern w:val="0"/>
                <w:sz w:val="28"/>
                <w:szCs w:val="28"/>
              </w:rPr>
              <w:t>资产到期日均</w:t>
            </w:r>
            <w:r w:rsidR="00781DB6">
              <w:rPr>
                <w:rFonts w:asciiTheme="minorEastAsia" w:eastAsiaTheme="minorEastAsia" w:hAnsiTheme="minorEastAsia" w:cs="黑体" w:hint="eastAsia"/>
                <w:kern w:val="0"/>
                <w:sz w:val="28"/>
                <w:szCs w:val="28"/>
              </w:rPr>
              <w:t>不晚</w:t>
            </w:r>
            <w:r w:rsidRPr="00266DC8">
              <w:rPr>
                <w:rFonts w:asciiTheme="minorEastAsia" w:eastAsiaTheme="minorEastAsia" w:hAnsiTheme="minorEastAsia" w:cs="黑体" w:hint="eastAsia"/>
                <w:kern w:val="0"/>
                <w:sz w:val="28"/>
                <w:szCs w:val="28"/>
              </w:rPr>
              <w:t>于产品到期日，故投资组合流动性风险较低</w:t>
            </w:r>
            <w:r w:rsidRPr="00266DC8">
              <w:rPr>
                <w:rFonts w:asciiTheme="minorEastAsia" w:eastAsiaTheme="minorEastAsia" w:hAnsiTheme="minorEastAsia" w:hint="eastAsia"/>
                <w:sz w:val="28"/>
                <w:szCs w:val="28"/>
              </w:rPr>
              <w:t>。</w:t>
            </w:r>
          </w:p>
        </w:tc>
      </w:tr>
    </w:tbl>
    <w:p w:rsidR="00C715DB" w:rsidRDefault="00C715DB" w:rsidP="009E48D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（二）产品的投资风险情况</w:t>
      </w:r>
    </w:p>
    <w:p w:rsidR="00C715DB" w:rsidRDefault="00743C62" w:rsidP="00C715D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C715DB" w:rsidRPr="00C715DB">
        <w:rPr>
          <w:rFonts w:asciiTheme="minorEastAsia" w:eastAsiaTheme="minorEastAsia" w:hAnsiTheme="minorEastAsia" w:hint="eastAsia"/>
          <w:sz w:val="28"/>
          <w:szCs w:val="28"/>
        </w:rPr>
        <w:t>产品债券持仓风险及价格波动情况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715DB" w:rsidTr="005A08AB">
        <w:trPr>
          <w:trHeight w:val="506"/>
        </w:trPr>
        <w:tc>
          <w:tcPr>
            <w:tcW w:w="8613" w:type="dxa"/>
            <w:tcBorders>
              <w:top w:val="single" w:sz="4" w:space="0" w:color="auto"/>
              <w:left w:val="single" w:sz="4" w:space="0" w:color="auto"/>
              <w:bottom w:val="single" w:sz="4" w:space="0" w:color="auto"/>
              <w:right w:val="single" w:sz="4" w:space="0" w:color="auto"/>
            </w:tcBorders>
          </w:tcPr>
          <w:p w:rsidR="00C715DB" w:rsidRDefault="00781DB6" w:rsidP="005A08AB">
            <w:pPr>
              <w:spacing w:line="360" w:lineRule="auto"/>
              <w:rPr>
                <w:rFonts w:ascii="宋体" w:hAnsi="宋体"/>
                <w:sz w:val="24"/>
              </w:rPr>
            </w:pPr>
            <w:r w:rsidRPr="00930CB4">
              <w:rPr>
                <w:rFonts w:ascii="宋体" w:hAnsi="宋体" w:hint="eastAsia"/>
                <w:sz w:val="24"/>
              </w:rPr>
              <w:t>本产品未投资于债券资产。</w:t>
            </w:r>
          </w:p>
        </w:tc>
      </w:tr>
    </w:tbl>
    <w:p w:rsidR="002A2DCC" w:rsidRDefault="00743C62" w:rsidP="002A2DC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C715DB" w:rsidRPr="00C715DB">
        <w:rPr>
          <w:rFonts w:asciiTheme="minorEastAsia" w:eastAsiaTheme="minorEastAsia" w:hAnsiTheme="minorEastAsia" w:hint="eastAsia"/>
          <w:sz w:val="28"/>
          <w:szCs w:val="28"/>
        </w:rPr>
        <w:t>产品股票持仓风险及价格波动情况</w:t>
      </w:r>
      <w:r w:rsidR="002A2DCC">
        <w:rPr>
          <w:rFonts w:asciiTheme="minorEastAsia" w:eastAsiaTheme="minorEastAsia" w:hAnsiTheme="minorEastAsia" w:hint="eastAsia"/>
          <w:sz w:val="28"/>
          <w:szCs w:val="28"/>
        </w:rPr>
        <w:t>（针对权益类及混合类产品）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715DB" w:rsidTr="00C715DB">
        <w:trPr>
          <w:trHeight w:val="506"/>
        </w:trPr>
        <w:tc>
          <w:tcPr>
            <w:tcW w:w="8613" w:type="dxa"/>
            <w:tcBorders>
              <w:top w:val="single" w:sz="4" w:space="0" w:color="auto"/>
              <w:left w:val="single" w:sz="4" w:space="0" w:color="auto"/>
              <w:bottom w:val="single" w:sz="4" w:space="0" w:color="auto"/>
              <w:right w:val="single" w:sz="4" w:space="0" w:color="auto"/>
            </w:tcBorders>
          </w:tcPr>
          <w:p w:rsidR="00C715DB" w:rsidRDefault="00781DB6" w:rsidP="005A08AB">
            <w:pPr>
              <w:spacing w:line="360" w:lineRule="auto"/>
              <w:rPr>
                <w:rFonts w:ascii="宋体" w:hAnsi="宋体"/>
                <w:sz w:val="24"/>
              </w:rPr>
            </w:pPr>
            <w:r w:rsidRPr="00781DB6">
              <w:rPr>
                <w:rFonts w:ascii="宋体" w:hAnsi="宋体" w:hint="eastAsia"/>
                <w:sz w:val="24"/>
              </w:rPr>
              <w:t>本产品未投资于股票资产。</w:t>
            </w:r>
          </w:p>
        </w:tc>
      </w:tr>
    </w:tbl>
    <w:p w:rsidR="002A2DCC" w:rsidRDefault="00743C62" w:rsidP="002A2DC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C715DB" w:rsidRPr="00C715DB">
        <w:rPr>
          <w:rFonts w:asciiTheme="minorEastAsia" w:eastAsiaTheme="minorEastAsia" w:hAnsiTheme="minorEastAsia" w:hint="eastAsia"/>
          <w:sz w:val="28"/>
          <w:szCs w:val="28"/>
        </w:rPr>
        <w:t>产品衍生品持仓风险及公允价值变动情况</w:t>
      </w:r>
      <w:r w:rsidR="002A2DCC">
        <w:rPr>
          <w:rFonts w:asciiTheme="minorEastAsia" w:eastAsiaTheme="minorEastAsia" w:hAnsiTheme="minorEastAsia" w:hint="eastAsia"/>
          <w:sz w:val="28"/>
          <w:szCs w:val="28"/>
        </w:rPr>
        <w:t>（针对</w:t>
      </w:r>
      <w:r w:rsidR="002A2DCC" w:rsidRPr="002A2DCC">
        <w:rPr>
          <w:rFonts w:asciiTheme="minorEastAsia" w:eastAsiaTheme="minorEastAsia" w:hAnsiTheme="minorEastAsia" w:hint="eastAsia"/>
          <w:sz w:val="28"/>
          <w:szCs w:val="28"/>
        </w:rPr>
        <w:t>商品及金融衍生品类</w:t>
      </w:r>
      <w:r w:rsidR="00466029">
        <w:rPr>
          <w:rFonts w:asciiTheme="minorEastAsia" w:eastAsiaTheme="minorEastAsia" w:hAnsiTheme="minorEastAsia" w:hint="eastAsia"/>
          <w:sz w:val="28"/>
          <w:szCs w:val="28"/>
        </w:rPr>
        <w:t>与</w:t>
      </w:r>
      <w:r w:rsidR="002A2DCC">
        <w:rPr>
          <w:rFonts w:asciiTheme="minorEastAsia" w:eastAsiaTheme="minorEastAsia" w:hAnsiTheme="minorEastAsia" w:hint="eastAsia"/>
          <w:sz w:val="28"/>
          <w:szCs w:val="28"/>
        </w:rPr>
        <w:t>混合类产品）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715DB" w:rsidRPr="00743C62" w:rsidTr="005A08AB">
        <w:trPr>
          <w:trHeight w:val="506"/>
        </w:trPr>
        <w:tc>
          <w:tcPr>
            <w:tcW w:w="8613" w:type="dxa"/>
            <w:tcBorders>
              <w:top w:val="single" w:sz="4" w:space="0" w:color="auto"/>
              <w:left w:val="single" w:sz="4" w:space="0" w:color="auto"/>
              <w:bottom w:val="single" w:sz="4" w:space="0" w:color="auto"/>
              <w:right w:val="single" w:sz="4" w:space="0" w:color="auto"/>
            </w:tcBorders>
          </w:tcPr>
          <w:p w:rsidR="00C715DB" w:rsidRDefault="00781DB6" w:rsidP="005A08AB">
            <w:pPr>
              <w:spacing w:line="360" w:lineRule="auto"/>
              <w:rPr>
                <w:rFonts w:ascii="宋体" w:hAnsi="宋体"/>
                <w:sz w:val="24"/>
              </w:rPr>
            </w:pPr>
            <w:r w:rsidRPr="00781DB6">
              <w:rPr>
                <w:rFonts w:ascii="宋体" w:hAnsi="宋体" w:hint="eastAsia"/>
                <w:sz w:val="24"/>
              </w:rPr>
              <w:lastRenderedPageBreak/>
              <w:t>本产品未投资于衍生品。</w:t>
            </w:r>
          </w:p>
        </w:tc>
      </w:tr>
    </w:tbl>
    <w:p w:rsidR="008B49F2" w:rsidRDefault="00735338" w:rsidP="00735338">
      <w:pPr>
        <w:spacing w:afterLines="50" w:after="156"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六</w:t>
      </w:r>
      <w:r w:rsidR="008B49F2" w:rsidRPr="008B49F2">
        <w:rPr>
          <w:rFonts w:asciiTheme="minorEastAsia" w:eastAsiaTheme="minorEastAsia" w:hAnsiTheme="minorEastAsia" w:hint="eastAsia"/>
          <w:b/>
          <w:color w:val="000000"/>
          <w:sz w:val="28"/>
          <w:szCs w:val="28"/>
        </w:rPr>
        <w:t>、托管人报告</w:t>
      </w:r>
      <w:r w:rsidR="0019525A" w:rsidRPr="0019525A">
        <w:rPr>
          <w:rFonts w:asciiTheme="minorEastAsia" w:eastAsiaTheme="minorEastAsia" w:hAnsiTheme="minorEastAsia" w:hint="eastAsia"/>
          <w:color w:val="FF0000"/>
          <w:sz w:val="28"/>
          <w:szCs w:val="28"/>
        </w:rPr>
        <w:t>（</w:t>
      </w:r>
      <w:r w:rsidR="00A74958">
        <w:rPr>
          <w:rFonts w:asciiTheme="minorEastAsia" w:eastAsiaTheme="minorEastAsia" w:hAnsiTheme="minorEastAsia" w:hint="eastAsia"/>
          <w:color w:val="FF0000"/>
          <w:sz w:val="28"/>
          <w:szCs w:val="28"/>
        </w:rPr>
        <w:t>公</w:t>
      </w:r>
      <w:proofErr w:type="gramStart"/>
      <w:r w:rsidR="00A74958">
        <w:rPr>
          <w:rFonts w:asciiTheme="minorEastAsia" w:eastAsiaTheme="minorEastAsia" w:hAnsiTheme="minorEastAsia" w:hint="eastAsia"/>
          <w:color w:val="FF0000"/>
          <w:sz w:val="28"/>
          <w:szCs w:val="28"/>
        </w:rPr>
        <w:t>募产品</w:t>
      </w:r>
      <w:r w:rsidR="0019525A" w:rsidRPr="0019525A">
        <w:rPr>
          <w:rFonts w:asciiTheme="minorEastAsia" w:eastAsiaTheme="minorEastAsia" w:hAnsiTheme="minorEastAsia" w:hint="eastAsia"/>
          <w:color w:val="FF0000"/>
          <w:sz w:val="28"/>
          <w:szCs w:val="28"/>
        </w:rPr>
        <w:t>半</w:t>
      </w:r>
      <w:proofErr w:type="gramEnd"/>
      <w:r w:rsidR="0019525A" w:rsidRPr="0019525A">
        <w:rPr>
          <w:rFonts w:asciiTheme="minorEastAsia" w:eastAsiaTheme="minorEastAsia" w:hAnsiTheme="minorEastAsia" w:hint="eastAsia"/>
          <w:color w:val="FF0000"/>
          <w:sz w:val="28"/>
          <w:szCs w:val="28"/>
        </w:rPr>
        <w:t>年报及年度报告需提供）</w:t>
      </w:r>
    </w:p>
    <w:tbl>
      <w:tblPr>
        <w:tblStyle w:val="a9"/>
        <w:tblW w:w="8613" w:type="dxa"/>
        <w:tblLook w:val="04A0" w:firstRow="1" w:lastRow="0" w:firstColumn="1" w:lastColumn="0" w:noHBand="0" w:noVBand="1"/>
      </w:tblPr>
      <w:tblGrid>
        <w:gridCol w:w="8613"/>
      </w:tblGrid>
      <w:tr w:rsidR="009E48DB" w:rsidTr="00C715DB">
        <w:tc>
          <w:tcPr>
            <w:tcW w:w="8613" w:type="dxa"/>
          </w:tcPr>
          <w:p w:rsidR="00781DB6" w:rsidRPr="00781DB6" w:rsidRDefault="004C5E20" w:rsidP="00781DB6">
            <w:pPr>
              <w:spacing w:line="360" w:lineRule="auto"/>
              <w:jc w:val="center"/>
              <w:rPr>
                <w:rFonts w:ascii="宋体" w:hAnsi="宋体"/>
                <w:sz w:val="24"/>
              </w:rPr>
            </w:pPr>
            <w:r>
              <w:rPr>
                <w:rFonts w:ascii="宋体" w:hAnsi="宋体" w:hint="eastAsia"/>
                <w:sz w:val="24"/>
              </w:rPr>
              <w:t>2020</w:t>
            </w:r>
            <w:r w:rsidR="00781DB6" w:rsidRPr="00781DB6">
              <w:rPr>
                <w:rFonts w:ascii="宋体" w:hAnsi="宋体" w:hint="eastAsia"/>
                <w:sz w:val="24"/>
              </w:rPr>
              <w:t>年第</w:t>
            </w:r>
            <w:r>
              <w:rPr>
                <w:rFonts w:ascii="宋体" w:hAnsi="宋体" w:hint="eastAsia"/>
                <w:sz w:val="24"/>
              </w:rPr>
              <w:t>1</w:t>
            </w:r>
            <w:r w:rsidR="00781DB6" w:rsidRPr="00781DB6">
              <w:rPr>
                <w:rFonts w:ascii="宋体" w:hAnsi="宋体" w:hint="eastAsia"/>
                <w:sz w:val="24"/>
              </w:rPr>
              <w:t>季度托管人报告</w:t>
            </w:r>
          </w:p>
          <w:p w:rsidR="00781DB6" w:rsidRPr="00781DB6" w:rsidRDefault="00781DB6" w:rsidP="00781DB6">
            <w:pPr>
              <w:spacing w:line="360" w:lineRule="auto"/>
              <w:ind w:firstLineChars="200" w:firstLine="480"/>
              <w:rPr>
                <w:rFonts w:ascii="宋体" w:hAnsi="宋体"/>
                <w:sz w:val="24"/>
              </w:rPr>
            </w:pPr>
            <w:r w:rsidRPr="00781DB6">
              <w:rPr>
                <w:rFonts w:ascii="宋体" w:hAnsi="宋体" w:hint="eastAsia"/>
                <w:sz w:val="24"/>
              </w:rPr>
              <w:t>中国建设银行股份有限公司</w:t>
            </w:r>
            <w:r>
              <w:rPr>
                <w:rFonts w:ascii="宋体" w:hAnsi="宋体" w:hint="eastAsia"/>
                <w:sz w:val="24"/>
              </w:rPr>
              <w:t>云南省</w:t>
            </w:r>
            <w:r w:rsidRPr="00781DB6">
              <w:rPr>
                <w:rFonts w:ascii="宋体" w:hAnsi="宋体" w:hint="eastAsia"/>
                <w:sz w:val="24"/>
              </w:rPr>
              <w:t>分行（以下简称管理人）于2019年</w:t>
            </w:r>
            <w:r>
              <w:rPr>
                <w:rFonts w:ascii="宋体" w:hAnsi="宋体" w:hint="eastAsia"/>
                <w:sz w:val="24"/>
              </w:rPr>
              <w:t>8</w:t>
            </w:r>
            <w:r w:rsidRPr="00781DB6">
              <w:rPr>
                <w:rFonts w:ascii="宋体" w:hAnsi="宋体" w:hint="eastAsia"/>
                <w:sz w:val="24"/>
              </w:rPr>
              <w:t>月成立云南省分行“乾元-稳赢” (公募) 2019年第1</w:t>
            </w:r>
            <w:r>
              <w:rPr>
                <w:rFonts w:ascii="宋体" w:hAnsi="宋体" w:hint="eastAsia"/>
                <w:sz w:val="24"/>
              </w:rPr>
              <w:t>期封闭式净值型人民币</w:t>
            </w:r>
            <w:r w:rsidRPr="00781DB6">
              <w:rPr>
                <w:rFonts w:ascii="宋体" w:hAnsi="宋体" w:hint="eastAsia"/>
                <w:sz w:val="24"/>
              </w:rPr>
              <w:t>理财产品，托管人为中国建设银行股份有限公司</w:t>
            </w:r>
            <w:r>
              <w:rPr>
                <w:rFonts w:ascii="宋体" w:hAnsi="宋体" w:hint="eastAsia"/>
                <w:sz w:val="24"/>
              </w:rPr>
              <w:t>云南省</w:t>
            </w:r>
            <w:r w:rsidRPr="00781DB6">
              <w:rPr>
                <w:rFonts w:ascii="宋体" w:hAnsi="宋体" w:hint="eastAsia"/>
                <w:sz w:val="24"/>
              </w:rPr>
              <w:t>分行（以下简称托管人）。托管人于2019年</w:t>
            </w:r>
            <w:r>
              <w:rPr>
                <w:rFonts w:ascii="宋体" w:hAnsi="宋体" w:hint="eastAsia"/>
                <w:sz w:val="24"/>
              </w:rPr>
              <w:t>8</w:t>
            </w:r>
            <w:r w:rsidRPr="00781DB6">
              <w:rPr>
                <w:rFonts w:ascii="宋体" w:hAnsi="宋体" w:hint="eastAsia"/>
                <w:sz w:val="24"/>
              </w:rPr>
              <w:t>月</w:t>
            </w:r>
            <w:r>
              <w:rPr>
                <w:rFonts w:ascii="宋体" w:hAnsi="宋体" w:hint="eastAsia"/>
                <w:sz w:val="24"/>
              </w:rPr>
              <w:t>30</w:t>
            </w:r>
            <w:r w:rsidRPr="00781DB6">
              <w:rPr>
                <w:rFonts w:ascii="宋体" w:hAnsi="宋体" w:hint="eastAsia"/>
                <w:sz w:val="24"/>
              </w:rPr>
              <w:t>日开始履行托管职责。</w:t>
            </w:r>
          </w:p>
          <w:p w:rsidR="00781DB6" w:rsidRPr="00781DB6" w:rsidRDefault="004C5E20" w:rsidP="00781DB6">
            <w:pPr>
              <w:spacing w:line="360" w:lineRule="auto"/>
              <w:ind w:firstLineChars="200" w:firstLine="480"/>
              <w:rPr>
                <w:rFonts w:ascii="宋体" w:hAnsi="宋体"/>
                <w:sz w:val="24"/>
              </w:rPr>
            </w:pPr>
            <w:r>
              <w:rPr>
                <w:rFonts w:ascii="宋体" w:hAnsi="宋体" w:hint="eastAsia"/>
                <w:sz w:val="24"/>
              </w:rPr>
              <w:t>2020</w:t>
            </w:r>
            <w:r w:rsidR="00781DB6" w:rsidRPr="00781DB6">
              <w:rPr>
                <w:rFonts w:ascii="宋体" w:hAnsi="宋体" w:hint="eastAsia"/>
                <w:sz w:val="24"/>
              </w:rPr>
              <w:t>年第</w:t>
            </w:r>
            <w:r>
              <w:rPr>
                <w:rFonts w:ascii="宋体" w:hAnsi="宋体" w:hint="eastAsia"/>
                <w:sz w:val="24"/>
              </w:rPr>
              <w:t>1</w:t>
            </w:r>
            <w:r w:rsidR="00781DB6" w:rsidRPr="00781DB6">
              <w:rPr>
                <w:rFonts w:ascii="宋体" w:hAnsi="宋体" w:hint="eastAsia"/>
                <w:sz w:val="24"/>
              </w:rPr>
              <w:t>季度，托管人在执行本理财产品的托管过程中，根据银监会的要求，严格遵守有关法律和保管合同的约定，尽职尽责地履行了托管人应尽的义务，不存在任何违背保管合同的行为。</w:t>
            </w:r>
          </w:p>
          <w:p w:rsidR="00781DB6" w:rsidRPr="00781DB6" w:rsidRDefault="004C5E20" w:rsidP="00781DB6">
            <w:pPr>
              <w:spacing w:line="360" w:lineRule="auto"/>
              <w:ind w:firstLineChars="200" w:firstLine="480"/>
              <w:rPr>
                <w:rFonts w:ascii="宋体" w:hAnsi="宋体"/>
                <w:sz w:val="24"/>
              </w:rPr>
            </w:pPr>
            <w:r>
              <w:rPr>
                <w:rFonts w:ascii="宋体" w:hAnsi="宋体" w:hint="eastAsia"/>
                <w:sz w:val="24"/>
              </w:rPr>
              <w:t>2020</w:t>
            </w:r>
            <w:r w:rsidR="00781DB6" w:rsidRPr="00781DB6">
              <w:rPr>
                <w:rFonts w:ascii="宋体" w:hAnsi="宋体" w:hint="eastAsia"/>
                <w:sz w:val="24"/>
              </w:rPr>
              <w:t>年第</w:t>
            </w:r>
            <w:r>
              <w:rPr>
                <w:rFonts w:ascii="宋体" w:hAnsi="宋体" w:hint="eastAsia"/>
                <w:sz w:val="24"/>
              </w:rPr>
              <w:t>1</w:t>
            </w:r>
            <w:r w:rsidR="00781DB6" w:rsidRPr="00781DB6">
              <w:rPr>
                <w:rFonts w:ascii="宋体" w:hAnsi="宋体" w:hint="eastAsia"/>
                <w:sz w:val="24"/>
              </w:rPr>
              <w:t>季度，托管人未发现管理人有违背理财产品说明书约定的行为。</w:t>
            </w:r>
          </w:p>
          <w:p w:rsidR="00781DB6" w:rsidRPr="00781DB6" w:rsidRDefault="00781DB6" w:rsidP="00781DB6">
            <w:pPr>
              <w:spacing w:line="360" w:lineRule="auto"/>
              <w:jc w:val="right"/>
              <w:rPr>
                <w:rFonts w:ascii="宋体" w:hAnsi="宋体"/>
                <w:sz w:val="24"/>
              </w:rPr>
            </w:pPr>
            <w:r w:rsidRPr="00781DB6">
              <w:rPr>
                <w:rFonts w:ascii="宋体" w:hAnsi="宋体" w:hint="eastAsia"/>
                <w:sz w:val="24"/>
              </w:rPr>
              <w:t>中国建设银行股份有限公司</w:t>
            </w:r>
            <w:r>
              <w:rPr>
                <w:rFonts w:ascii="宋体" w:hAnsi="宋体" w:hint="eastAsia"/>
                <w:sz w:val="24"/>
              </w:rPr>
              <w:t>云南省分行托管分中心</w:t>
            </w:r>
          </w:p>
          <w:p w:rsidR="009E48DB" w:rsidRDefault="00781DB6" w:rsidP="00781DB6">
            <w:pPr>
              <w:spacing w:line="360" w:lineRule="auto"/>
              <w:rPr>
                <w:rFonts w:ascii="宋体" w:hAnsi="宋体"/>
                <w:sz w:val="24"/>
              </w:rPr>
            </w:pPr>
            <w:r w:rsidRPr="00781DB6">
              <w:rPr>
                <w:rFonts w:ascii="宋体" w:hAnsi="宋体" w:hint="eastAsia"/>
                <w:sz w:val="24"/>
              </w:rPr>
              <w:t xml:space="preserve">      </w:t>
            </w:r>
            <w:r w:rsidR="004C5E20">
              <w:rPr>
                <w:rFonts w:ascii="宋体" w:hAnsi="宋体" w:hint="eastAsia"/>
                <w:sz w:val="24"/>
              </w:rPr>
              <w:t xml:space="preserve">                            2020</w:t>
            </w:r>
            <w:r w:rsidRPr="00781DB6">
              <w:rPr>
                <w:rFonts w:ascii="宋体" w:hAnsi="宋体" w:hint="eastAsia"/>
                <w:sz w:val="24"/>
              </w:rPr>
              <w:t>年</w:t>
            </w:r>
            <w:r w:rsidR="004C5E20">
              <w:rPr>
                <w:rFonts w:ascii="宋体" w:hAnsi="宋体" w:hint="eastAsia"/>
                <w:sz w:val="24"/>
              </w:rPr>
              <w:t xml:space="preserve"> 4</w:t>
            </w:r>
            <w:r w:rsidRPr="00781DB6">
              <w:rPr>
                <w:rFonts w:ascii="宋体" w:hAnsi="宋体" w:hint="eastAsia"/>
                <w:sz w:val="24"/>
              </w:rPr>
              <w:t>月</w:t>
            </w:r>
            <w:r w:rsidR="004C5E20">
              <w:rPr>
                <w:rFonts w:ascii="宋体" w:hAnsi="宋体" w:hint="eastAsia"/>
                <w:sz w:val="24"/>
              </w:rPr>
              <w:t>8</w:t>
            </w:r>
            <w:r w:rsidRPr="00781DB6">
              <w:rPr>
                <w:rFonts w:ascii="宋体" w:hAnsi="宋体" w:hint="eastAsia"/>
                <w:sz w:val="24"/>
              </w:rPr>
              <w:t>日</w:t>
            </w:r>
          </w:p>
        </w:tc>
      </w:tr>
    </w:tbl>
    <w:p w:rsidR="008B49F2" w:rsidRDefault="0019525A" w:rsidP="00735338">
      <w:pPr>
        <w:spacing w:beforeLines="50" w:before="156" w:afterLines="50" w:after="156"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七</w:t>
      </w:r>
      <w:r w:rsidR="00285C70">
        <w:rPr>
          <w:rFonts w:asciiTheme="minorEastAsia" w:eastAsiaTheme="minorEastAsia" w:hAnsiTheme="minorEastAsia" w:hint="eastAsia"/>
          <w:b/>
          <w:color w:val="000000"/>
          <w:sz w:val="28"/>
          <w:szCs w:val="28"/>
        </w:rPr>
        <w:t>、</w:t>
      </w:r>
      <w:r w:rsidR="008B49F2">
        <w:rPr>
          <w:rFonts w:asciiTheme="minorEastAsia" w:eastAsiaTheme="minorEastAsia" w:hAnsiTheme="minorEastAsia" w:hint="eastAsia"/>
          <w:b/>
          <w:color w:val="000000"/>
          <w:sz w:val="28"/>
          <w:szCs w:val="28"/>
        </w:rPr>
        <w:t>投资账户信息</w:t>
      </w:r>
    </w:p>
    <w:tbl>
      <w:tblPr>
        <w:tblW w:w="8447"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985"/>
        <w:gridCol w:w="1842"/>
        <w:gridCol w:w="1843"/>
        <w:gridCol w:w="1997"/>
      </w:tblGrid>
      <w:tr w:rsidR="0072777A" w:rsidTr="0072777A">
        <w:trPr>
          <w:trHeight w:val="285"/>
          <w:jc w:val="center"/>
        </w:trPr>
        <w:tc>
          <w:tcPr>
            <w:tcW w:w="780" w:type="dxa"/>
            <w:vAlign w:val="center"/>
          </w:tcPr>
          <w:p w:rsidR="008B49F2" w:rsidRDefault="008B49F2" w:rsidP="000C4729">
            <w:pPr>
              <w:spacing w:line="360" w:lineRule="auto"/>
              <w:jc w:val="center"/>
              <w:rPr>
                <w:rFonts w:ascii="宋体" w:hAnsi="宋体" w:cs="宋体"/>
                <w:kern w:val="0"/>
              </w:rPr>
            </w:pPr>
            <w:r>
              <w:rPr>
                <w:rFonts w:ascii="宋体" w:hAnsi="宋体" w:cs="宋体" w:hint="eastAsia"/>
                <w:kern w:val="0"/>
              </w:rPr>
              <w:t>序号</w:t>
            </w:r>
          </w:p>
        </w:tc>
        <w:tc>
          <w:tcPr>
            <w:tcW w:w="1985" w:type="dxa"/>
            <w:vAlign w:val="center"/>
          </w:tcPr>
          <w:p w:rsidR="008B49F2" w:rsidRDefault="008B49F2" w:rsidP="000C4729">
            <w:pPr>
              <w:spacing w:line="360" w:lineRule="auto"/>
              <w:jc w:val="center"/>
              <w:rPr>
                <w:rFonts w:ascii="宋体" w:hAnsi="宋体" w:cs="宋体"/>
                <w:kern w:val="0"/>
              </w:rPr>
            </w:pPr>
            <w:r>
              <w:rPr>
                <w:rFonts w:ascii="宋体" w:hAnsi="宋体" w:cs="宋体"/>
                <w:kern w:val="0"/>
              </w:rPr>
              <w:t>账户类型</w:t>
            </w:r>
          </w:p>
        </w:tc>
        <w:tc>
          <w:tcPr>
            <w:tcW w:w="1842" w:type="dxa"/>
            <w:vAlign w:val="center"/>
          </w:tcPr>
          <w:p w:rsidR="008B49F2" w:rsidRDefault="008B49F2" w:rsidP="000C4729">
            <w:pPr>
              <w:snapToGrid w:val="0"/>
              <w:jc w:val="center"/>
              <w:rPr>
                <w:rFonts w:ascii="宋体" w:hAnsi="宋体" w:cs="宋体"/>
                <w:kern w:val="0"/>
              </w:rPr>
            </w:pPr>
            <w:r>
              <w:rPr>
                <w:rFonts w:ascii="宋体" w:hAnsi="宋体" w:cs="宋体"/>
                <w:kern w:val="0"/>
              </w:rPr>
              <w:t>账户编号</w:t>
            </w:r>
          </w:p>
        </w:tc>
        <w:tc>
          <w:tcPr>
            <w:tcW w:w="1843" w:type="dxa"/>
            <w:vAlign w:val="center"/>
          </w:tcPr>
          <w:p w:rsidR="008B49F2" w:rsidRDefault="008B49F2" w:rsidP="000C4729">
            <w:pPr>
              <w:spacing w:line="360" w:lineRule="auto"/>
              <w:jc w:val="center"/>
              <w:rPr>
                <w:rFonts w:ascii="宋体" w:hAnsi="宋体" w:cs="宋体"/>
                <w:kern w:val="0"/>
              </w:rPr>
            </w:pPr>
            <w:r>
              <w:rPr>
                <w:rFonts w:ascii="宋体" w:hAnsi="宋体" w:cs="宋体"/>
                <w:kern w:val="0"/>
              </w:rPr>
              <w:t>账户名称</w:t>
            </w:r>
          </w:p>
        </w:tc>
        <w:tc>
          <w:tcPr>
            <w:tcW w:w="1997" w:type="dxa"/>
            <w:vAlign w:val="center"/>
          </w:tcPr>
          <w:p w:rsidR="008B49F2" w:rsidRDefault="008B49F2" w:rsidP="000C4729">
            <w:pPr>
              <w:spacing w:line="360" w:lineRule="auto"/>
              <w:jc w:val="center"/>
              <w:rPr>
                <w:rFonts w:ascii="宋体" w:hAnsi="宋体" w:cs="宋体"/>
                <w:kern w:val="0"/>
              </w:rPr>
            </w:pPr>
            <w:r>
              <w:rPr>
                <w:rFonts w:ascii="宋体" w:hAnsi="宋体" w:cs="宋体"/>
                <w:kern w:val="0"/>
              </w:rPr>
              <w:t>开户单位</w:t>
            </w:r>
          </w:p>
        </w:tc>
      </w:tr>
      <w:tr w:rsidR="0072777A" w:rsidTr="0072777A">
        <w:trPr>
          <w:trHeight w:val="285"/>
          <w:jc w:val="center"/>
        </w:trPr>
        <w:tc>
          <w:tcPr>
            <w:tcW w:w="780" w:type="dxa"/>
            <w:vAlign w:val="center"/>
          </w:tcPr>
          <w:p w:rsidR="008B49F2" w:rsidRDefault="008B49F2" w:rsidP="000C4729">
            <w:pPr>
              <w:spacing w:line="360" w:lineRule="auto"/>
              <w:jc w:val="center"/>
              <w:rPr>
                <w:rFonts w:ascii="宋体" w:hAnsi="宋体" w:cs="宋体"/>
                <w:kern w:val="0"/>
              </w:rPr>
            </w:pPr>
            <w:r>
              <w:rPr>
                <w:rFonts w:ascii="宋体" w:hAnsi="宋体" w:cs="宋体" w:hint="eastAsia"/>
                <w:kern w:val="0"/>
              </w:rPr>
              <w:t>1</w:t>
            </w:r>
          </w:p>
        </w:tc>
        <w:tc>
          <w:tcPr>
            <w:tcW w:w="1985" w:type="dxa"/>
            <w:vAlign w:val="center"/>
          </w:tcPr>
          <w:p w:rsidR="008B49F2" w:rsidRDefault="00781DB6" w:rsidP="000C4729">
            <w:pPr>
              <w:spacing w:line="360" w:lineRule="auto"/>
              <w:jc w:val="center"/>
              <w:rPr>
                <w:rFonts w:ascii="宋体" w:hAnsi="宋体" w:cs="宋体"/>
                <w:kern w:val="0"/>
              </w:rPr>
            </w:pPr>
            <w:proofErr w:type="gramStart"/>
            <w:r>
              <w:rPr>
                <w:rFonts w:ascii="宋体" w:hAnsi="宋体" w:cs="宋体" w:hint="eastAsia"/>
                <w:kern w:val="0"/>
              </w:rPr>
              <w:t>托管户</w:t>
            </w:r>
            <w:proofErr w:type="gramEnd"/>
          </w:p>
        </w:tc>
        <w:tc>
          <w:tcPr>
            <w:tcW w:w="1842" w:type="dxa"/>
            <w:vAlign w:val="center"/>
          </w:tcPr>
          <w:p w:rsidR="008B49F2" w:rsidRDefault="00781DB6" w:rsidP="000C4729">
            <w:pPr>
              <w:snapToGrid w:val="0"/>
              <w:jc w:val="center"/>
              <w:rPr>
                <w:rFonts w:ascii="宋体" w:hAnsi="宋体" w:cs="宋体"/>
                <w:kern w:val="0"/>
              </w:rPr>
            </w:pPr>
            <w:r w:rsidRPr="00781DB6">
              <w:rPr>
                <w:rFonts w:ascii="宋体" w:hAnsi="宋体" w:cs="宋体"/>
                <w:kern w:val="0"/>
              </w:rPr>
              <w:t>53050187503600000060-0060</w:t>
            </w:r>
          </w:p>
        </w:tc>
        <w:tc>
          <w:tcPr>
            <w:tcW w:w="1843" w:type="dxa"/>
            <w:vAlign w:val="center"/>
          </w:tcPr>
          <w:p w:rsidR="008B49F2" w:rsidRDefault="00781DB6" w:rsidP="000C4729">
            <w:pPr>
              <w:spacing w:line="360" w:lineRule="auto"/>
              <w:jc w:val="center"/>
              <w:rPr>
                <w:rFonts w:ascii="宋体" w:hAnsi="宋体" w:cs="宋体"/>
                <w:kern w:val="0"/>
              </w:rPr>
            </w:pPr>
            <w:r w:rsidRPr="00781DB6">
              <w:rPr>
                <w:rFonts w:ascii="宋体" w:hAnsi="宋体" w:cs="宋体" w:hint="eastAsia"/>
                <w:kern w:val="0"/>
              </w:rPr>
              <w:t>中国建设银行股份有限公司云南省分行投资银行理财产品托管专户</w:t>
            </w:r>
          </w:p>
        </w:tc>
        <w:tc>
          <w:tcPr>
            <w:tcW w:w="1997" w:type="dxa"/>
            <w:vAlign w:val="center"/>
          </w:tcPr>
          <w:p w:rsidR="008B49F2" w:rsidRDefault="00781DB6" w:rsidP="000C4729">
            <w:pPr>
              <w:spacing w:line="360" w:lineRule="auto"/>
              <w:jc w:val="center"/>
              <w:rPr>
                <w:rFonts w:ascii="宋体" w:hAnsi="宋体" w:cs="宋体"/>
                <w:kern w:val="0"/>
              </w:rPr>
            </w:pPr>
            <w:r w:rsidRPr="00781DB6">
              <w:rPr>
                <w:rFonts w:ascii="宋体" w:hAnsi="宋体" w:cs="宋体" w:hint="eastAsia"/>
                <w:kern w:val="0"/>
              </w:rPr>
              <w:t>中国建设银行股份有限公司昆明祥云支行</w:t>
            </w:r>
          </w:p>
        </w:tc>
      </w:tr>
    </w:tbl>
    <w:p w:rsidR="00AD7F0D" w:rsidRDefault="0019525A" w:rsidP="00AD7F0D">
      <w:pPr>
        <w:spacing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八</w:t>
      </w:r>
      <w:r w:rsidR="00E028E0">
        <w:rPr>
          <w:rFonts w:asciiTheme="minorEastAsia" w:eastAsiaTheme="minorEastAsia" w:hAnsiTheme="minorEastAsia" w:hint="eastAsia"/>
          <w:b/>
          <w:color w:val="000000"/>
          <w:sz w:val="28"/>
          <w:szCs w:val="28"/>
        </w:rPr>
        <w:t>、</w:t>
      </w:r>
      <w:r w:rsidR="00AD7F0D" w:rsidRPr="00AD7F0D">
        <w:rPr>
          <w:rFonts w:asciiTheme="minorEastAsia" w:eastAsiaTheme="minorEastAsia" w:hAnsiTheme="minorEastAsia" w:hint="eastAsia"/>
          <w:b/>
          <w:color w:val="000000"/>
          <w:sz w:val="28"/>
          <w:szCs w:val="28"/>
        </w:rPr>
        <w:t>报告期内关联交易情况</w:t>
      </w:r>
    </w:p>
    <w:p w:rsidR="00AD7F0D" w:rsidRDefault="00AD7F0D" w:rsidP="00AD7F0D">
      <w:pPr>
        <w:spacing w:line="480" w:lineRule="exact"/>
        <w:ind w:firstLineChars="200" w:firstLine="560"/>
        <w:outlineLvl w:val="0"/>
        <w:rPr>
          <w:rFonts w:asciiTheme="minorEastAsia" w:eastAsiaTheme="minorEastAsia" w:hAnsiTheme="minorEastAsia" w:cs="仿宋_GB2312"/>
          <w:bCs/>
          <w:sz w:val="28"/>
          <w:szCs w:val="28"/>
        </w:rPr>
      </w:pPr>
      <w:r w:rsidRPr="00AD7F0D">
        <w:rPr>
          <w:rFonts w:asciiTheme="minorEastAsia" w:eastAsiaTheme="minorEastAsia" w:hAnsiTheme="minorEastAsia" w:hint="eastAsia"/>
          <w:color w:val="000000"/>
          <w:sz w:val="28"/>
          <w:szCs w:val="28"/>
        </w:rPr>
        <w:t>（一）</w:t>
      </w:r>
      <w:r w:rsidRPr="00AD7F0D">
        <w:rPr>
          <w:rFonts w:asciiTheme="minorEastAsia" w:eastAsiaTheme="minorEastAsia" w:hAnsiTheme="minorEastAsia" w:cs="仿宋_GB2312" w:hint="eastAsia"/>
          <w:bCs/>
          <w:sz w:val="28"/>
          <w:szCs w:val="28"/>
        </w:rPr>
        <w:t>产品持有关联</w:t>
      </w:r>
      <w:proofErr w:type="gramStart"/>
      <w:r w:rsidRPr="00AD7F0D">
        <w:rPr>
          <w:rFonts w:asciiTheme="minorEastAsia" w:eastAsiaTheme="minorEastAsia" w:hAnsiTheme="minorEastAsia" w:cs="仿宋_GB2312" w:hint="eastAsia"/>
          <w:bCs/>
          <w:sz w:val="28"/>
          <w:szCs w:val="28"/>
        </w:rPr>
        <w:t>方发行</w:t>
      </w:r>
      <w:proofErr w:type="gramEnd"/>
      <w:r w:rsidRPr="00AD7F0D">
        <w:rPr>
          <w:rFonts w:asciiTheme="minorEastAsia" w:eastAsiaTheme="minorEastAsia" w:hAnsiTheme="minorEastAsia" w:cs="仿宋_GB2312" w:hint="eastAsia"/>
          <w:bCs/>
          <w:sz w:val="28"/>
          <w:szCs w:val="28"/>
        </w:rPr>
        <w:t>或承销的证券</w:t>
      </w:r>
    </w:p>
    <w:p w:rsidR="00781DB6" w:rsidRDefault="00781DB6" w:rsidP="00AD7F0D">
      <w:pPr>
        <w:spacing w:line="480" w:lineRule="exact"/>
        <w:ind w:firstLineChars="200" w:firstLine="560"/>
        <w:outlineLvl w:val="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t>无</w:t>
      </w:r>
    </w:p>
    <w:p w:rsidR="00AD7F0D" w:rsidRDefault="00AD7F0D" w:rsidP="00AD7F0D">
      <w:pPr>
        <w:spacing w:line="480" w:lineRule="exact"/>
        <w:ind w:firstLineChars="200" w:firstLine="560"/>
        <w:outlineLvl w:val="0"/>
        <w:rPr>
          <w:rFonts w:asciiTheme="minorEastAsia" w:eastAsiaTheme="minorEastAsia" w:hAnsiTheme="minorEastAsia"/>
          <w:color w:val="000000"/>
          <w:sz w:val="28"/>
          <w:szCs w:val="28"/>
          <w:lang w:val="x-none"/>
        </w:rPr>
      </w:pPr>
      <w:r>
        <w:rPr>
          <w:rFonts w:asciiTheme="minorEastAsia" w:eastAsiaTheme="minorEastAsia" w:hAnsiTheme="minorEastAsia" w:hint="eastAsia"/>
          <w:color w:val="000000"/>
          <w:sz w:val="28"/>
          <w:szCs w:val="28"/>
          <w:lang w:val="x-none"/>
        </w:rPr>
        <w:t>（二）</w:t>
      </w:r>
      <w:r w:rsidRPr="00AD7F0D">
        <w:rPr>
          <w:rFonts w:asciiTheme="minorEastAsia" w:eastAsiaTheme="minorEastAsia" w:hAnsiTheme="minorEastAsia" w:hint="eastAsia"/>
          <w:color w:val="000000"/>
          <w:sz w:val="28"/>
          <w:szCs w:val="28"/>
          <w:lang w:val="x-none"/>
        </w:rPr>
        <w:t>其他重大关联交易</w:t>
      </w:r>
    </w:p>
    <w:p w:rsidR="00781DB6" w:rsidRDefault="00781DB6" w:rsidP="00AD7F0D">
      <w:pPr>
        <w:spacing w:line="480" w:lineRule="exact"/>
        <w:ind w:firstLineChars="200" w:firstLine="560"/>
        <w:outlineLvl w:val="0"/>
        <w:rPr>
          <w:rFonts w:asciiTheme="minorEastAsia" w:eastAsiaTheme="minorEastAsia" w:hAnsiTheme="minorEastAsia"/>
          <w:color w:val="000000"/>
          <w:sz w:val="28"/>
          <w:szCs w:val="28"/>
          <w:lang w:val="x-none"/>
        </w:rPr>
      </w:pPr>
      <w:r>
        <w:rPr>
          <w:rFonts w:asciiTheme="minorEastAsia" w:eastAsiaTheme="minorEastAsia" w:hAnsiTheme="minorEastAsia" w:hint="eastAsia"/>
          <w:color w:val="000000"/>
          <w:sz w:val="28"/>
          <w:szCs w:val="28"/>
          <w:lang w:val="x-none"/>
        </w:rPr>
        <w:t>无</w:t>
      </w:r>
    </w:p>
    <w:p w:rsidR="00E028E0" w:rsidRPr="00E028E0" w:rsidRDefault="0019525A" w:rsidP="00E028E0">
      <w:pPr>
        <w:spacing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九</w:t>
      </w:r>
      <w:r w:rsidR="00AD7F0D">
        <w:rPr>
          <w:rFonts w:asciiTheme="minorEastAsia" w:eastAsiaTheme="minorEastAsia" w:hAnsiTheme="minorEastAsia" w:hint="eastAsia"/>
          <w:b/>
          <w:color w:val="000000"/>
          <w:sz w:val="28"/>
          <w:szCs w:val="28"/>
        </w:rPr>
        <w:t>、</w:t>
      </w:r>
      <w:r w:rsidR="00E028E0" w:rsidRPr="00346C2E">
        <w:rPr>
          <w:rFonts w:asciiTheme="minorEastAsia" w:eastAsiaTheme="minorEastAsia" w:hAnsiTheme="minorEastAsia" w:hint="eastAsia"/>
          <w:b/>
          <w:color w:val="000000"/>
          <w:sz w:val="28"/>
          <w:szCs w:val="28"/>
        </w:rPr>
        <w:t>投资非标准化债权</w:t>
      </w:r>
      <w:r w:rsidR="00E028E0">
        <w:rPr>
          <w:rFonts w:asciiTheme="minorEastAsia" w:eastAsiaTheme="minorEastAsia" w:hAnsiTheme="minorEastAsia" w:hint="eastAsia"/>
          <w:b/>
          <w:color w:val="000000"/>
          <w:sz w:val="28"/>
          <w:szCs w:val="28"/>
        </w:rPr>
        <w:t>及股权类</w:t>
      </w:r>
      <w:r w:rsidR="00E028E0" w:rsidRPr="00346C2E">
        <w:rPr>
          <w:rFonts w:asciiTheme="minorEastAsia" w:eastAsiaTheme="minorEastAsia" w:hAnsiTheme="minorEastAsia" w:hint="eastAsia"/>
          <w:b/>
          <w:color w:val="000000"/>
          <w:sz w:val="28"/>
          <w:szCs w:val="28"/>
        </w:rPr>
        <w:t>资产清单（见附录一）</w:t>
      </w:r>
    </w:p>
    <w:p w:rsidR="00747E15" w:rsidRPr="00437C59" w:rsidRDefault="00735338" w:rsidP="00C61B7B">
      <w:pPr>
        <w:spacing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十</w:t>
      </w:r>
      <w:r w:rsidR="00F33FC4" w:rsidRPr="00437C59">
        <w:rPr>
          <w:rFonts w:asciiTheme="minorEastAsia" w:eastAsiaTheme="minorEastAsia" w:hAnsiTheme="minorEastAsia" w:hint="eastAsia"/>
          <w:b/>
          <w:color w:val="000000"/>
          <w:sz w:val="28"/>
          <w:szCs w:val="28"/>
        </w:rPr>
        <w:t>、</w:t>
      </w:r>
      <w:r w:rsidR="00747E15" w:rsidRPr="00437C59">
        <w:rPr>
          <w:rFonts w:asciiTheme="minorEastAsia" w:eastAsiaTheme="minorEastAsia" w:hAnsiTheme="minorEastAsia" w:hint="eastAsia"/>
          <w:b/>
          <w:color w:val="000000"/>
          <w:sz w:val="28"/>
          <w:szCs w:val="28"/>
        </w:rPr>
        <w:t>产品整体运作情况</w:t>
      </w:r>
    </w:p>
    <w:p w:rsidR="00F33FC4" w:rsidRPr="00437C59" w:rsidRDefault="00F33FC4" w:rsidP="00814FC5">
      <w:pPr>
        <w:ind w:firstLineChars="200" w:firstLine="560"/>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（一）本产品自成立至本报告日，产品管理人恪尽职守、勤勉尽</w:t>
      </w:r>
      <w:r w:rsidRPr="00437C59">
        <w:rPr>
          <w:rFonts w:asciiTheme="minorEastAsia" w:eastAsiaTheme="minorEastAsia" w:hAnsiTheme="minorEastAsia" w:hint="eastAsia"/>
          <w:color w:val="000000"/>
          <w:sz w:val="28"/>
          <w:szCs w:val="28"/>
        </w:rPr>
        <w:lastRenderedPageBreak/>
        <w:t>责、谨慎管理，忠实履行有关法律、行政法规和相关文件的规定。</w:t>
      </w:r>
    </w:p>
    <w:p w:rsidR="00F33FC4" w:rsidRPr="00437C59" w:rsidRDefault="00F33FC4" w:rsidP="00814FC5">
      <w:pPr>
        <w:ind w:firstLineChars="200" w:firstLine="560"/>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（二）截至本报告日，所有投资资产正常运营，未发现有异常情况或不利情况。</w:t>
      </w:r>
    </w:p>
    <w:p w:rsidR="00F33FC4" w:rsidRPr="00437C59" w:rsidRDefault="00F33FC4" w:rsidP="00814FC5">
      <w:pPr>
        <w:ind w:firstLineChars="200" w:firstLine="560"/>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（三）本产品自成立至本报告日，没有发生涉诉及诉讼等损害投资者利益的情况。</w:t>
      </w:r>
    </w:p>
    <w:p w:rsidR="00747E15" w:rsidRPr="00437C59" w:rsidRDefault="00F33FC4" w:rsidP="00814FC5">
      <w:pPr>
        <w:ind w:firstLineChars="200" w:firstLine="560"/>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特此公告</w:t>
      </w:r>
      <w:r w:rsidR="00747E15" w:rsidRPr="00437C59">
        <w:rPr>
          <w:rFonts w:asciiTheme="minorEastAsia" w:eastAsiaTheme="minorEastAsia" w:hAnsiTheme="minorEastAsia" w:hint="eastAsia"/>
          <w:color w:val="000000"/>
          <w:sz w:val="28"/>
          <w:szCs w:val="28"/>
        </w:rPr>
        <w:t xml:space="preserve">               </w:t>
      </w:r>
    </w:p>
    <w:p w:rsidR="00747E15" w:rsidRPr="00437C59" w:rsidRDefault="00747E15" w:rsidP="00C61B7B">
      <w:pPr>
        <w:spacing w:line="480" w:lineRule="exact"/>
        <w:ind w:firstLineChars="200" w:firstLine="560"/>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 xml:space="preserve">         </w:t>
      </w:r>
      <w:r w:rsidR="00781DB6">
        <w:rPr>
          <w:rFonts w:asciiTheme="minorEastAsia" w:eastAsiaTheme="minorEastAsia" w:hAnsiTheme="minorEastAsia" w:hint="eastAsia"/>
          <w:color w:val="000000"/>
          <w:sz w:val="28"/>
          <w:szCs w:val="28"/>
        </w:rPr>
        <w:t xml:space="preserve">                       </w:t>
      </w:r>
      <w:r w:rsidRPr="00437C59">
        <w:rPr>
          <w:rFonts w:asciiTheme="minorEastAsia" w:eastAsiaTheme="minorEastAsia" w:hAnsiTheme="minorEastAsia" w:hint="eastAsia"/>
          <w:color w:val="000000"/>
          <w:sz w:val="28"/>
          <w:szCs w:val="28"/>
        </w:rPr>
        <w:t xml:space="preserve"> 中国建设银行</w:t>
      </w:r>
      <w:r w:rsidR="00781DB6">
        <w:rPr>
          <w:rFonts w:asciiTheme="minorEastAsia" w:eastAsiaTheme="minorEastAsia" w:hAnsiTheme="minorEastAsia" w:hint="eastAsia"/>
          <w:color w:val="000000"/>
          <w:sz w:val="28"/>
          <w:szCs w:val="28"/>
        </w:rPr>
        <w:t>云南省分行</w:t>
      </w:r>
    </w:p>
    <w:p w:rsidR="00747E15" w:rsidRPr="00437C59" w:rsidRDefault="004C5E20" w:rsidP="00C61B7B">
      <w:pPr>
        <w:spacing w:line="480" w:lineRule="exact"/>
        <w:ind w:right="-58" w:firstLineChars="200" w:firstLine="560"/>
        <w:jc w:val="righ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2020</w:t>
      </w:r>
      <w:r w:rsidR="00747E15" w:rsidRPr="00437C59">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4</w:t>
      </w:r>
      <w:r w:rsidR="00747E15" w:rsidRPr="00437C59">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8</w:t>
      </w:r>
      <w:r w:rsidR="00747E15" w:rsidRPr="00437C59">
        <w:rPr>
          <w:rFonts w:asciiTheme="minorEastAsia" w:eastAsiaTheme="minorEastAsia" w:hAnsiTheme="minorEastAsia" w:hint="eastAsia"/>
          <w:color w:val="000000"/>
          <w:sz w:val="28"/>
          <w:szCs w:val="28"/>
        </w:rPr>
        <w:t>日</w:t>
      </w:r>
    </w:p>
    <w:p w:rsidR="00961315" w:rsidRDefault="00C85517" w:rsidP="00C85517">
      <w:pPr>
        <w:rPr>
          <w:rFonts w:asciiTheme="minorEastAsia" w:eastAsiaTheme="minorEastAsia" w:hAnsiTheme="minorEastAsia"/>
        </w:rPr>
      </w:pPr>
      <w:r w:rsidRPr="00C61B7B">
        <w:rPr>
          <w:rFonts w:asciiTheme="minorEastAsia" w:eastAsiaTheme="minorEastAsia" w:hAnsiTheme="minorEastAsia"/>
        </w:rPr>
        <w:t xml:space="preserve"> </w:t>
      </w:r>
    </w:p>
    <w:p w:rsidR="002900EE" w:rsidRDefault="002900EE"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19525A" w:rsidRDefault="0019525A" w:rsidP="00783ADA">
      <w:pPr>
        <w:rPr>
          <w:b/>
          <w:color w:val="000000"/>
          <w:sz w:val="24"/>
          <w:szCs w:val="24"/>
        </w:rPr>
      </w:pPr>
    </w:p>
    <w:p w:rsidR="0019525A" w:rsidRDefault="0019525A" w:rsidP="00783ADA">
      <w:pPr>
        <w:rPr>
          <w:b/>
          <w:color w:val="000000"/>
          <w:sz w:val="24"/>
          <w:szCs w:val="24"/>
        </w:rPr>
      </w:pPr>
    </w:p>
    <w:p w:rsidR="0019525A" w:rsidRDefault="0019525A" w:rsidP="00783ADA">
      <w:pPr>
        <w:rPr>
          <w:b/>
          <w:color w:val="000000"/>
          <w:sz w:val="24"/>
          <w:szCs w:val="24"/>
        </w:rPr>
      </w:pPr>
    </w:p>
    <w:p w:rsidR="0019525A" w:rsidRDefault="0019525A" w:rsidP="00783ADA">
      <w:pPr>
        <w:rPr>
          <w:b/>
          <w:color w:val="000000"/>
          <w:sz w:val="24"/>
          <w:szCs w:val="24"/>
        </w:rPr>
      </w:pPr>
    </w:p>
    <w:p w:rsidR="0019525A" w:rsidRDefault="0019525A"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4C5E20" w:rsidRDefault="004C5E20">
      <w:pPr>
        <w:widowControl/>
        <w:jc w:val="left"/>
        <w:rPr>
          <w:b/>
          <w:color w:val="000000"/>
          <w:sz w:val="24"/>
          <w:szCs w:val="24"/>
        </w:rPr>
      </w:pPr>
      <w:r>
        <w:rPr>
          <w:b/>
          <w:color w:val="000000"/>
          <w:sz w:val="24"/>
          <w:szCs w:val="24"/>
        </w:rPr>
        <w:br w:type="page"/>
      </w:r>
    </w:p>
    <w:p w:rsidR="00783ADA" w:rsidRDefault="00783ADA" w:rsidP="00783ADA">
      <w:pPr>
        <w:rPr>
          <w:b/>
          <w:color w:val="000000"/>
          <w:sz w:val="24"/>
          <w:szCs w:val="24"/>
        </w:rPr>
      </w:pPr>
      <w:r>
        <w:rPr>
          <w:rFonts w:hint="eastAsia"/>
          <w:b/>
          <w:color w:val="000000"/>
          <w:sz w:val="24"/>
          <w:szCs w:val="24"/>
        </w:rPr>
        <w:lastRenderedPageBreak/>
        <w:t>附录一</w:t>
      </w:r>
    </w:p>
    <w:p w:rsidR="00783ADA" w:rsidRDefault="00783ADA" w:rsidP="00783ADA">
      <w:pPr>
        <w:rPr>
          <w:b/>
          <w:color w:val="000000"/>
          <w:sz w:val="24"/>
          <w:szCs w:val="24"/>
        </w:rPr>
      </w:pPr>
    </w:p>
    <w:p w:rsidR="00783ADA" w:rsidRDefault="00781DB6" w:rsidP="00783ADA">
      <w:pPr>
        <w:jc w:val="center"/>
        <w:rPr>
          <w:b/>
          <w:color w:val="000000"/>
          <w:sz w:val="24"/>
          <w:szCs w:val="24"/>
        </w:rPr>
      </w:pPr>
      <w:r w:rsidRPr="00781DB6">
        <w:rPr>
          <w:rFonts w:hint="eastAsia"/>
          <w:b/>
          <w:color w:val="000000"/>
          <w:sz w:val="24"/>
          <w:szCs w:val="24"/>
        </w:rPr>
        <w:t>中国建设银行云南省分行“乾元</w:t>
      </w:r>
      <w:r w:rsidRPr="00781DB6">
        <w:rPr>
          <w:rFonts w:hint="eastAsia"/>
          <w:b/>
          <w:color w:val="000000"/>
          <w:sz w:val="24"/>
          <w:szCs w:val="24"/>
        </w:rPr>
        <w:t>-</w:t>
      </w:r>
      <w:r w:rsidRPr="00781DB6">
        <w:rPr>
          <w:rFonts w:hint="eastAsia"/>
          <w:b/>
          <w:color w:val="000000"/>
          <w:sz w:val="24"/>
          <w:szCs w:val="24"/>
        </w:rPr>
        <w:t>稳赢”</w:t>
      </w:r>
      <w:r w:rsidRPr="00781DB6">
        <w:rPr>
          <w:rFonts w:hint="eastAsia"/>
          <w:b/>
          <w:color w:val="000000"/>
          <w:sz w:val="24"/>
          <w:szCs w:val="24"/>
        </w:rPr>
        <w:t xml:space="preserve"> (</w:t>
      </w:r>
      <w:r w:rsidRPr="00781DB6">
        <w:rPr>
          <w:rFonts w:hint="eastAsia"/>
          <w:b/>
          <w:color w:val="000000"/>
          <w:sz w:val="24"/>
          <w:szCs w:val="24"/>
        </w:rPr>
        <w:t>公募</w:t>
      </w:r>
      <w:r w:rsidRPr="00781DB6">
        <w:rPr>
          <w:rFonts w:hint="eastAsia"/>
          <w:b/>
          <w:color w:val="000000"/>
          <w:sz w:val="24"/>
          <w:szCs w:val="24"/>
        </w:rPr>
        <w:t>) 2019</w:t>
      </w:r>
      <w:r w:rsidRPr="00781DB6">
        <w:rPr>
          <w:rFonts w:hint="eastAsia"/>
          <w:b/>
          <w:color w:val="000000"/>
          <w:sz w:val="24"/>
          <w:szCs w:val="24"/>
        </w:rPr>
        <w:t>年第</w:t>
      </w:r>
      <w:r w:rsidRPr="00781DB6">
        <w:rPr>
          <w:rFonts w:hint="eastAsia"/>
          <w:b/>
          <w:color w:val="000000"/>
          <w:sz w:val="24"/>
          <w:szCs w:val="24"/>
        </w:rPr>
        <w:t>1</w:t>
      </w:r>
      <w:r w:rsidRPr="00781DB6">
        <w:rPr>
          <w:rFonts w:hint="eastAsia"/>
          <w:b/>
          <w:color w:val="000000"/>
          <w:sz w:val="24"/>
          <w:szCs w:val="24"/>
        </w:rPr>
        <w:t>期封闭式净值型人民币</w:t>
      </w:r>
      <w:r w:rsidR="00783ADA">
        <w:rPr>
          <w:rFonts w:hint="eastAsia"/>
          <w:b/>
          <w:color w:val="000000"/>
          <w:sz w:val="24"/>
          <w:szCs w:val="24"/>
        </w:rPr>
        <w:t>理财产品投资非标准化债权</w:t>
      </w:r>
      <w:r w:rsidR="00976495">
        <w:rPr>
          <w:rFonts w:hint="eastAsia"/>
          <w:b/>
          <w:color w:val="000000"/>
          <w:sz w:val="24"/>
          <w:szCs w:val="24"/>
        </w:rPr>
        <w:t>及股权类</w:t>
      </w:r>
      <w:r w:rsidR="00783ADA">
        <w:rPr>
          <w:rFonts w:hint="eastAsia"/>
          <w:b/>
          <w:color w:val="000000"/>
          <w:sz w:val="24"/>
          <w:szCs w:val="24"/>
        </w:rPr>
        <w:t>资产清单</w:t>
      </w:r>
    </w:p>
    <w:p w:rsidR="00783ADA" w:rsidRDefault="00783ADA" w:rsidP="00783ADA">
      <w:pPr>
        <w:spacing w:line="480" w:lineRule="exact"/>
        <w:ind w:firstLineChars="200" w:firstLine="420"/>
        <w:jc w:val="center"/>
        <w:rPr>
          <w:rFonts w:ascii="宋体" w:hAnsi="宋体"/>
          <w:color w:val="000000"/>
          <w:szCs w:val="21"/>
        </w:rPr>
      </w:pPr>
      <w:r>
        <w:rPr>
          <w:rFonts w:ascii="宋体" w:hAnsi="宋体" w:hint="eastAsia"/>
          <w:color w:val="000000"/>
          <w:szCs w:val="21"/>
        </w:rPr>
        <w:t>报告日：</w:t>
      </w:r>
      <w:r w:rsidR="004C5E20">
        <w:rPr>
          <w:rFonts w:ascii="宋体" w:hAnsi="宋体" w:hint="eastAsia"/>
          <w:color w:val="000000"/>
          <w:szCs w:val="21"/>
        </w:rPr>
        <w:t>2020</w:t>
      </w:r>
      <w:r>
        <w:rPr>
          <w:rFonts w:ascii="宋体" w:hAnsi="宋体" w:hint="eastAsia"/>
          <w:color w:val="000000"/>
          <w:szCs w:val="21"/>
        </w:rPr>
        <w:t>年</w:t>
      </w:r>
      <w:r w:rsidR="004C5E20">
        <w:rPr>
          <w:rFonts w:ascii="宋体" w:hAnsi="宋体" w:hint="eastAsia"/>
          <w:color w:val="000000"/>
          <w:szCs w:val="21"/>
        </w:rPr>
        <w:t>3</w:t>
      </w:r>
      <w:r>
        <w:rPr>
          <w:rFonts w:ascii="宋体" w:hAnsi="宋体" w:hint="eastAsia"/>
          <w:color w:val="000000"/>
          <w:szCs w:val="21"/>
        </w:rPr>
        <w:t>月</w:t>
      </w:r>
      <w:r w:rsidR="004C5E20">
        <w:rPr>
          <w:rFonts w:ascii="宋体" w:hAnsi="宋体" w:hint="eastAsia"/>
          <w:color w:val="000000"/>
          <w:szCs w:val="21"/>
        </w:rPr>
        <w:t>31</w:t>
      </w:r>
      <w:r>
        <w:rPr>
          <w:rFonts w:ascii="宋体" w:hAnsi="宋体" w:hint="eastAsia"/>
          <w:color w:val="000000"/>
          <w:szCs w:val="21"/>
        </w:rPr>
        <w:t xml:space="preserve">日    </w:t>
      </w:r>
    </w:p>
    <w:p w:rsidR="00783ADA" w:rsidRDefault="00783ADA" w:rsidP="00783ADA">
      <w:pPr>
        <w:spacing w:line="480" w:lineRule="exact"/>
        <w:ind w:firstLineChars="200" w:firstLine="420"/>
        <w:rPr>
          <w:rFonts w:ascii="宋体" w:hAnsi="宋体"/>
          <w:color w:val="000000"/>
          <w:szCs w:val="21"/>
        </w:rPr>
      </w:pPr>
      <w:r>
        <w:rPr>
          <w:rFonts w:ascii="宋体" w:hAnsi="宋体" w:hint="eastAsia"/>
          <w:color w:val="000000"/>
          <w:szCs w:val="21"/>
        </w:rPr>
        <w:t>我行依照</w:t>
      </w:r>
      <w:r w:rsidR="00976495">
        <w:rPr>
          <w:rFonts w:ascii="宋体" w:hAnsi="宋体" w:hint="eastAsia"/>
          <w:color w:val="000000"/>
          <w:szCs w:val="21"/>
        </w:rPr>
        <w:t>监管</w:t>
      </w:r>
      <w:r>
        <w:rPr>
          <w:rFonts w:ascii="宋体" w:hAnsi="宋体" w:hint="eastAsia"/>
          <w:color w:val="000000"/>
          <w:szCs w:val="21"/>
        </w:rPr>
        <w:t>要求，现对</w:t>
      </w:r>
      <w:r w:rsidR="00781DB6" w:rsidRPr="00781DB6">
        <w:rPr>
          <w:rFonts w:ascii="宋体" w:hAnsi="宋体" w:hint="eastAsia"/>
          <w:color w:val="000000"/>
          <w:szCs w:val="21"/>
        </w:rPr>
        <w:t>中国建设银行云南省分行“乾元-稳赢” (公募) 2019年第1期封闭式净值型人民币</w:t>
      </w:r>
      <w:r>
        <w:rPr>
          <w:rFonts w:ascii="宋体" w:hAnsi="宋体" w:hint="eastAsia"/>
          <w:color w:val="000000"/>
          <w:szCs w:val="21"/>
        </w:rPr>
        <w:t>理财产品投资非标准化债权</w:t>
      </w:r>
      <w:r w:rsidR="00976495">
        <w:rPr>
          <w:rFonts w:ascii="宋体" w:hAnsi="宋体" w:hint="eastAsia"/>
          <w:color w:val="000000"/>
          <w:szCs w:val="21"/>
        </w:rPr>
        <w:t>及股权类</w:t>
      </w:r>
      <w:r>
        <w:rPr>
          <w:rFonts w:ascii="宋体" w:hAnsi="宋体" w:hint="eastAsia"/>
          <w:color w:val="000000"/>
          <w:szCs w:val="21"/>
        </w:rPr>
        <w:t>资产清单披露如下：</w:t>
      </w:r>
    </w:p>
    <w:tbl>
      <w:tblPr>
        <w:tblW w:w="5000" w:type="pct"/>
        <w:jc w:val="center"/>
        <w:tblLayout w:type="fixed"/>
        <w:tblLook w:val="04A0" w:firstRow="1" w:lastRow="0" w:firstColumn="1" w:lastColumn="0" w:noHBand="0" w:noVBand="1"/>
      </w:tblPr>
      <w:tblGrid>
        <w:gridCol w:w="3934"/>
        <w:gridCol w:w="1420"/>
        <w:gridCol w:w="1275"/>
        <w:gridCol w:w="1135"/>
        <w:gridCol w:w="758"/>
      </w:tblGrid>
      <w:tr w:rsidR="00660E94" w:rsidTr="00587168">
        <w:trPr>
          <w:trHeight w:val="765"/>
          <w:jc w:val="center"/>
        </w:trPr>
        <w:tc>
          <w:tcPr>
            <w:tcW w:w="2308" w:type="pct"/>
            <w:tcBorders>
              <w:top w:val="single" w:sz="4" w:space="0" w:color="auto"/>
              <w:left w:val="single" w:sz="4" w:space="0" w:color="auto"/>
              <w:bottom w:val="single" w:sz="4" w:space="0" w:color="auto"/>
              <w:right w:val="single" w:sz="4" w:space="0" w:color="auto"/>
            </w:tcBorders>
            <w:vAlign w:val="center"/>
            <w:hideMark/>
          </w:tcPr>
          <w:p w:rsidR="00660E94" w:rsidRDefault="00660E94">
            <w:pPr>
              <w:widowControl/>
              <w:jc w:val="center"/>
              <w:rPr>
                <w:rFonts w:ascii="宋体" w:hAnsi="宋体" w:cs="宋体"/>
                <w:b/>
                <w:bCs/>
                <w:color w:val="000000"/>
                <w:kern w:val="0"/>
                <w:szCs w:val="21"/>
              </w:rPr>
            </w:pPr>
            <w:r>
              <w:rPr>
                <w:rFonts w:ascii="宋体" w:hAnsi="宋体" w:cs="宋体" w:hint="eastAsia"/>
                <w:b/>
                <w:bCs/>
                <w:color w:val="000000"/>
                <w:kern w:val="0"/>
                <w:szCs w:val="21"/>
              </w:rPr>
              <w:t>交易结构</w:t>
            </w:r>
          </w:p>
        </w:tc>
        <w:tc>
          <w:tcPr>
            <w:tcW w:w="833" w:type="pct"/>
            <w:tcBorders>
              <w:top w:val="single" w:sz="4" w:space="0" w:color="auto"/>
              <w:left w:val="nil"/>
              <w:bottom w:val="single" w:sz="4" w:space="0" w:color="auto"/>
              <w:right w:val="single" w:sz="4" w:space="0" w:color="auto"/>
            </w:tcBorders>
            <w:vAlign w:val="center"/>
            <w:hideMark/>
          </w:tcPr>
          <w:p w:rsidR="00660E94" w:rsidRDefault="00660E94">
            <w:pPr>
              <w:widowControl/>
              <w:jc w:val="center"/>
              <w:rPr>
                <w:rFonts w:ascii="宋体" w:hAnsi="宋体" w:cs="宋体"/>
                <w:b/>
                <w:bCs/>
                <w:color w:val="000000"/>
                <w:kern w:val="0"/>
                <w:szCs w:val="21"/>
              </w:rPr>
            </w:pPr>
            <w:r>
              <w:rPr>
                <w:rFonts w:ascii="宋体" w:hAnsi="宋体" w:cs="宋体" w:hint="eastAsia"/>
                <w:b/>
                <w:bCs/>
                <w:color w:val="000000"/>
                <w:kern w:val="0"/>
                <w:szCs w:val="21"/>
              </w:rPr>
              <w:t>融资客户名称</w:t>
            </w:r>
          </w:p>
        </w:tc>
        <w:tc>
          <w:tcPr>
            <w:tcW w:w="748" w:type="pct"/>
            <w:tcBorders>
              <w:top w:val="single" w:sz="4" w:space="0" w:color="auto"/>
              <w:left w:val="nil"/>
              <w:bottom w:val="single" w:sz="4" w:space="0" w:color="auto"/>
              <w:right w:val="single" w:sz="4" w:space="0" w:color="auto"/>
            </w:tcBorders>
            <w:vAlign w:val="center"/>
          </w:tcPr>
          <w:p w:rsidR="00660E94" w:rsidRDefault="00660E94" w:rsidP="00660E94">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666" w:type="pct"/>
            <w:tcBorders>
              <w:top w:val="single" w:sz="4" w:space="0" w:color="auto"/>
              <w:left w:val="single" w:sz="4" w:space="0" w:color="auto"/>
              <w:bottom w:val="single" w:sz="4" w:space="0" w:color="auto"/>
              <w:right w:val="single" w:sz="4" w:space="0" w:color="auto"/>
            </w:tcBorders>
            <w:vAlign w:val="center"/>
            <w:hideMark/>
          </w:tcPr>
          <w:p w:rsidR="00660E94" w:rsidRDefault="00660E94">
            <w:pPr>
              <w:widowControl/>
              <w:jc w:val="center"/>
              <w:rPr>
                <w:rFonts w:ascii="宋体" w:hAnsi="宋体" w:cs="宋体"/>
                <w:b/>
                <w:bCs/>
                <w:color w:val="000000"/>
                <w:kern w:val="0"/>
                <w:szCs w:val="21"/>
              </w:rPr>
            </w:pPr>
            <w:r>
              <w:rPr>
                <w:rFonts w:ascii="宋体" w:hAnsi="宋体" w:cs="宋体" w:hint="eastAsia"/>
                <w:b/>
                <w:bCs/>
                <w:color w:val="000000"/>
                <w:kern w:val="0"/>
                <w:szCs w:val="21"/>
              </w:rPr>
              <w:t>剩余融资期限（天）</w:t>
            </w:r>
          </w:p>
        </w:tc>
        <w:tc>
          <w:tcPr>
            <w:tcW w:w="445" w:type="pct"/>
            <w:tcBorders>
              <w:top w:val="single" w:sz="4" w:space="0" w:color="auto"/>
              <w:left w:val="nil"/>
              <w:bottom w:val="single" w:sz="4" w:space="0" w:color="auto"/>
              <w:right w:val="single" w:sz="4" w:space="0" w:color="auto"/>
            </w:tcBorders>
            <w:vAlign w:val="center"/>
            <w:hideMark/>
          </w:tcPr>
          <w:p w:rsidR="00660E94" w:rsidRDefault="001645F7">
            <w:pPr>
              <w:widowControl/>
              <w:jc w:val="center"/>
              <w:rPr>
                <w:rFonts w:ascii="宋体" w:hAnsi="宋体" w:cs="宋体"/>
                <w:b/>
                <w:bCs/>
                <w:color w:val="000000"/>
                <w:kern w:val="0"/>
                <w:szCs w:val="21"/>
              </w:rPr>
            </w:pPr>
            <w:r>
              <w:rPr>
                <w:rFonts w:ascii="宋体" w:hAnsi="宋体" w:cs="宋体" w:hint="eastAsia"/>
                <w:b/>
                <w:bCs/>
                <w:color w:val="000000"/>
                <w:kern w:val="0"/>
                <w:szCs w:val="21"/>
              </w:rPr>
              <w:t>风险状况</w:t>
            </w:r>
          </w:p>
        </w:tc>
      </w:tr>
      <w:tr w:rsidR="00587168" w:rsidTr="00587168">
        <w:trPr>
          <w:trHeight w:val="240"/>
          <w:jc w:val="center"/>
        </w:trPr>
        <w:tc>
          <w:tcPr>
            <w:tcW w:w="23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60E94" w:rsidRDefault="00587168">
            <w:pPr>
              <w:jc w:val="center"/>
            </w:pPr>
            <w:r w:rsidRPr="00587168">
              <w:rPr>
                <w:rFonts w:hint="eastAsia"/>
              </w:rPr>
              <w:t>本期理财产品募集资金投资于云南滇中城市建设投资开发有限责任公司持有至到期的资产收益权（</w:t>
            </w:r>
            <w:proofErr w:type="gramStart"/>
            <w:r w:rsidRPr="00587168">
              <w:rPr>
                <w:rFonts w:hint="eastAsia"/>
              </w:rPr>
              <w:t>海益二号</w:t>
            </w:r>
            <w:proofErr w:type="gramEnd"/>
            <w:r w:rsidRPr="00587168">
              <w:rPr>
                <w:rFonts w:hint="eastAsia"/>
              </w:rPr>
              <w:t>债券投资集合资金信托计划），用于云南滇中城市建设投资开发有限责任公司滇中空港商务广场配套酒店装修使用，由云南省滇中产业发展集团有限责任公司提供连带责任保证。</w:t>
            </w:r>
          </w:p>
        </w:tc>
        <w:tc>
          <w:tcPr>
            <w:tcW w:w="833" w:type="pct"/>
            <w:tcBorders>
              <w:top w:val="single" w:sz="4" w:space="0" w:color="auto"/>
              <w:left w:val="nil"/>
              <w:bottom w:val="single" w:sz="4" w:space="0" w:color="auto"/>
              <w:right w:val="single" w:sz="4" w:space="0" w:color="auto"/>
            </w:tcBorders>
            <w:shd w:val="clear" w:color="auto" w:fill="FFFFFF"/>
            <w:noWrap/>
            <w:vAlign w:val="center"/>
          </w:tcPr>
          <w:p w:rsidR="00660E94" w:rsidRDefault="00587168">
            <w:pPr>
              <w:jc w:val="center"/>
            </w:pPr>
            <w:r w:rsidRPr="00587168">
              <w:rPr>
                <w:rFonts w:hint="eastAsia"/>
              </w:rPr>
              <w:t>云南滇中城市建设投资开发有限责任公司</w:t>
            </w:r>
          </w:p>
        </w:tc>
        <w:tc>
          <w:tcPr>
            <w:tcW w:w="748" w:type="pct"/>
            <w:tcBorders>
              <w:top w:val="single" w:sz="4" w:space="0" w:color="auto"/>
              <w:left w:val="nil"/>
              <w:bottom w:val="single" w:sz="4" w:space="0" w:color="auto"/>
              <w:right w:val="single" w:sz="4" w:space="0" w:color="auto"/>
            </w:tcBorders>
            <w:shd w:val="clear" w:color="auto" w:fill="FFFFFF"/>
          </w:tcPr>
          <w:p w:rsidR="00660E94" w:rsidRDefault="00587168">
            <w:pPr>
              <w:jc w:val="center"/>
            </w:pPr>
            <w:r w:rsidRPr="00587168">
              <w:rPr>
                <w:rFonts w:hint="eastAsia"/>
              </w:rPr>
              <w:t>云南滇中城市建设投资开发有限责任公司非标准化债权资产</w:t>
            </w:r>
          </w:p>
        </w:tc>
        <w:tc>
          <w:tcPr>
            <w:tcW w:w="66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60E94" w:rsidRDefault="004C5E20">
            <w:pPr>
              <w:jc w:val="center"/>
            </w:pPr>
            <w:r>
              <w:rPr>
                <w:rFonts w:hint="eastAsia"/>
              </w:rPr>
              <w:t>269</w:t>
            </w:r>
          </w:p>
        </w:tc>
        <w:tc>
          <w:tcPr>
            <w:tcW w:w="445" w:type="pct"/>
            <w:tcBorders>
              <w:top w:val="single" w:sz="4" w:space="0" w:color="auto"/>
              <w:left w:val="nil"/>
              <w:bottom w:val="single" w:sz="4" w:space="0" w:color="auto"/>
              <w:right w:val="single" w:sz="4" w:space="0" w:color="auto"/>
            </w:tcBorders>
            <w:noWrap/>
            <w:vAlign w:val="center"/>
          </w:tcPr>
          <w:p w:rsidR="00660E94" w:rsidRDefault="00587168">
            <w:pPr>
              <w:widowControl/>
              <w:jc w:val="left"/>
              <w:rPr>
                <w:rFonts w:asciiTheme="minorHAnsi" w:hAnsiTheme="minorHAnsi" w:cstheme="minorBidi"/>
              </w:rPr>
            </w:pPr>
            <w:r>
              <w:rPr>
                <w:rFonts w:asciiTheme="minorHAnsi" w:hAnsiTheme="minorHAnsi" w:cstheme="minorBidi" w:hint="eastAsia"/>
              </w:rPr>
              <w:t>正</w:t>
            </w:r>
            <w:bookmarkStart w:id="0" w:name="_GoBack"/>
            <w:bookmarkEnd w:id="0"/>
            <w:r>
              <w:rPr>
                <w:rFonts w:asciiTheme="minorHAnsi" w:hAnsiTheme="minorHAnsi" w:cstheme="minorBidi" w:hint="eastAsia"/>
              </w:rPr>
              <w:t>常</w:t>
            </w:r>
          </w:p>
        </w:tc>
      </w:tr>
    </w:tbl>
    <w:p w:rsidR="00783ADA" w:rsidRPr="004738BC" w:rsidRDefault="004B78FA" w:rsidP="004738BC">
      <w:pPr>
        <w:spacing w:line="480" w:lineRule="exact"/>
        <w:rPr>
          <w:rFonts w:ascii="宋体" w:hAnsi="宋体"/>
          <w:color w:val="000000"/>
          <w:szCs w:val="21"/>
        </w:rPr>
      </w:pPr>
      <w:r>
        <w:rPr>
          <w:rFonts w:ascii="彩虹粗仿宋" w:eastAsia="彩虹粗仿宋" w:hAnsi="宋体" w:cs="宋体" w:hint="eastAsia"/>
          <w:color w:val="000000"/>
          <w:kern w:val="0"/>
          <w:szCs w:val="21"/>
        </w:rPr>
        <w:t xml:space="preserve">   </w:t>
      </w:r>
      <w:r w:rsidR="00783ADA">
        <w:rPr>
          <w:rFonts w:ascii="彩虹粗仿宋" w:eastAsia="彩虹粗仿宋" w:hAnsi="宋体" w:cs="宋体" w:hint="eastAsia"/>
          <w:color w:val="000000"/>
          <w:kern w:val="0"/>
          <w:szCs w:val="21"/>
        </w:rPr>
        <w:t>到期收益分配详见产品说明书。</w:t>
      </w:r>
    </w:p>
    <w:sectPr w:rsidR="00783ADA" w:rsidRPr="004738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953" w:rsidRDefault="005F4953" w:rsidP="00747E15">
      <w:r>
        <w:separator/>
      </w:r>
    </w:p>
  </w:endnote>
  <w:endnote w:type="continuationSeparator" w:id="0">
    <w:p w:rsidR="005F4953" w:rsidRDefault="005F4953" w:rsidP="0074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953" w:rsidRDefault="005F4953" w:rsidP="00747E15">
      <w:r>
        <w:separator/>
      </w:r>
    </w:p>
  </w:footnote>
  <w:footnote w:type="continuationSeparator" w:id="0">
    <w:p w:rsidR="005F4953" w:rsidRDefault="005F4953" w:rsidP="00747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33618"/>
    <w:multiLevelType w:val="multilevel"/>
    <w:tmpl w:val="3D733618"/>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4B"/>
    <w:rsid w:val="00000EA6"/>
    <w:rsid w:val="00004B86"/>
    <w:rsid w:val="00026C30"/>
    <w:rsid w:val="00032483"/>
    <w:rsid w:val="00034EB1"/>
    <w:rsid w:val="00041CF5"/>
    <w:rsid w:val="0004473E"/>
    <w:rsid w:val="00050B6D"/>
    <w:rsid w:val="00057F41"/>
    <w:rsid w:val="00062AD3"/>
    <w:rsid w:val="00063A00"/>
    <w:rsid w:val="00064987"/>
    <w:rsid w:val="000A58C0"/>
    <w:rsid w:val="000A7A07"/>
    <w:rsid w:val="000B2257"/>
    <w:rsid w:val="000B6D04"/>
    <w:rsid w:val="000F4ED6"/>
    <w:rsid w:val="000F5E7E"/>
    <w:rsid w:val="00106270"/>
    <w:rsid w:val="00117AFB"/>
    <w:rsid w:val="00120614"/>
    <w:rsid w:val="00120E2F"/>
    <w:rsid w:val="001253E2"/>
    <w:rsid w:val="00126391"/>
    <w:rsid w:val="00131840"/>
    <w:rsid w:val="00132193"/>
    <w:rsid w:val="00153C80"/>
    <w:rsid w:val="00154D69"/>
    <w:rsid w:val="0015543C"/>
    <w:rsid w:val="001645F7"/>
    <w:rsid w:val="001654BE"/>
    <w:rsid w:val="0017482E"/>
    <w:rsid w:val="0017771F"/>
    <w:rsid w:val="00194B35"/>
    <w:rsid w:val="0019525A"/>
    <w:rsid w:val="001A1254"/>
    <w:rsid w:val="001A1F0C"/>
    <w:rsid w:val="001A204D"/>
    <w:rsid w:val="001C207C"/>
    <w:rsid w:val="001C51CC"/>
    <w:rsid w:val="001E0ABA"/>
    <w:rsid w:val="001E60BC"/>
    <w:rsid w:val="001E70EA"/>
    <w:rsid w:val="001F3D33"/>
    <w:rsid w:val="001F4173"/>
    <w:rsid w:val="00202B18"/>
    <w:rsid w:val="00206C50"/>
    <w:rsid w:val="00212278"/>
    <w:rsid w:val="00215713"/>
    <w:rsid w:val="00222168"/>
    <w:rsid w:val="002228F3"/>
    <w:rsid w:val="00225A63"/>
    <w:rsid w:val="00233ACD"/>
    <w:rsid w:val="00240A06"/>
    <w:rsid w:val="00240B03"/>
    <w:rsid w:val="00245012"/>
    <w:rsid w:val="00264E8C"/>
    <w:rsid w:val="00266DC8"/>
    <w:rsid w:val="00272D45"/>
    <w:rsid w:val="002767A0"/>
    <w:rsid w:val="00285C70"/>
    <w:rsid w:val="00286C46"/>
    <w:rsid w:val="002900EE"/>
    <w:rsid w:val="00292733"/>
    <w:rsid w:val="00293553"/>
    <w:rsid w:val="002974F6"/>
    <w:rsid w:val="002A0C80"/>
    <w:rsid w:val="002A2DCC"/>
    <w:rsid w:val="002B1B4E"/>
    <w:rsid w:val="002C72A6"/>
    <w:rsid w:val="002F02E2"/>
    <w:rsid w:val="002F21B2"/>
    <w:rsid w:val="00305DE3"/>
    <w:rsid w:val="00326849"/>
    <w:rsid w:val="00332886"/>
    <w:rsid w:val="00333409"/>
    <w:rsid w:val="00346C2E"/>
    <w:rsid w:val="003729DF"/>
    <w:rsid w:val="00373677"/>
    <w:rsid w:val="0039500D"/>
    <w:rsid w:val="003D3F6C"/>
    <w:rsid w:val="003E0232"/>
    <w:rsid w:val="003E4D8B"/>
    <w:rsid w:val="00404027"/>
    <w:rsid w:val="004118B6"/>
    <w:rsid w:val="00417D2B"/>
    <w:rsid w:val="004340C8"/>
    <w:rsid w:val="00437C59"/>
    <w:rsid w:val="00446C31"/>
    <w:rsid w:val="00451B06"/>
    <w:rsid w:val="004540EE"/>
    <w:rsid w:val="00466029"/>
    <w:rsid w:val="00467A3A"/>
    <w:rsid w:val="004738BC"/>
    <w:rsid w:val="0048507A"/>
    <w:rsid w:val="00491FFA"/>
    <w:rsid w:val="00495958"/>
    <w:rsid w:val="004A39A1"/>
    <w:rsid w:val="004A7B18"/>
    <w:rsid w:val="004B773D"/>
    <w:rsid w:val="004B78FA"/>
    <w:rsid w:val="004C1B42"/>
    <w:rsid w:val="004C2FFD"/>
    <w:rsid w:val="004C54B2"/>
    <w:rsid w:val="004C5E20"/>
    <w:rsid w:val="004D6FF3"/>
    <w:rsid w:val="004D72CA"/>
    <w:rsid w:val="00553503"/>
    <w:rsid w:val="00556FF5"/>
    <w:rsid w:val="00574C73"/>
    <w:rsid w:val="00575AC8"/>
    <w:rsid w:val="00581772"/>
    <w:rsid w:val="00584D88"/>
    <w:rsid w:val="00587168"/>
    <w:rsid w:val="005902E2"/>
    <w:rsid w:val="005965D6"/>
    <w:rsid w:val="005A7E4B"/>
    <w:rsid w:val="005C491D"/>
    <w:rsid w:val="005D075A"/>
    <w:rsid w:val="005E1AF9"/>
    <w:rsid w:val="005F0968"/>
    <w:rsid w:val="005F3B6B"/>
    <w:rsid w:val="005F4953"/>
    <w:rsid w:val="00605150"/>
    <w:rsid w:val="00610506"/>
    <w:rsid w:val="006317AB"/>
    <w:rsid w:val="006318C9"/>
    <w:rsid w:val="006342A8"/>
    <w:rsid w:val="006350AB"/>
    <w:rsid w:val="00637ADC"/>
    <w:rsid w:val="00657E0A"/>
    <w:rsid w:val="00660E94"/>
    <w:rsid w:val="006761CD"/>
    <w:rsid w:val="00690080"/>
    <w:rsid w:val="00691D50"/>
    <w:rsid w:val="006965E7"/>
    <w:rsid w:val="006B7D67"/>
    <w:rsid w:val="006C418D"/>
    <w:rsid w:val="006D1B33"/>
    <w:rsid w:val="006D216F"/>
    <w:rsid w:val="006D3D24"/>
    <w:rsid w:val="006D509E"/>
    <w:rsid w:val="006F03B9"/>
    <w:rsid w:val="006F51AA"/>
    <w:rsid w:val="00702BA8"/>
    <w:rsid w:val="00712AAE"/>
    <w:rsid w:val="00721E88"/>
    <w:rsid w:val="007224EB"/>
    <w:rsid w:val="00725E07"/>
    <w:rsid w:val="0072777A"/>
    <w:rsid w:val="00730420"/>
    <w:rsid w:val="00732817"/>
    <w:rsid w:val="00735338"/>
    <w:rsid w:val="007367C1"/>
    <w:rsid w:val="007372CD"/>
    <w:rsid w:val="00742813"/>
    <w:rsid w:val="00743C62"/>
    <w:rsid w:val="00747E15"/>
    <w:rsid w:val="00753381"/>
    <w:rsid w:val="007812E4"/>
    <w:rsid w:val="00781DB6"/>
    <w:rsid w:val="00783ADA"/>
    <w:rsid w:val="00784FEC"/>
    <w:rsid w:val="0079146A"/>
    <w:rsid w:val="00796986"/>
    <w:rsid w:val="007A0A0E"/>
    <w:rsid w:val="007A2D9F"/>
    <w:rsid w:val="007A7935"/>
    <w:rsid w:val="007B2D94"/>
    <w:rsid w:val="007B72B7"/>
    <w:rsid w:val="007C3A4B"/>
    <w:rsid w:val="007E674C"/>
    <w:rsid w:val="007F05DC"/>
    <w:rsid w:val="007F4653"/>
    <w:rsid w:val="007F486F"/>
    <w:rsid w:val="00803A6A"/>
    <w:rsid w:val="00806379"/>
    <w:rsid w:val="00806AB0"/>
    <w:rsid w:val="00814FC5"/>
    <w:rsid w:val="00821DFE"/>
    <w:rsid w:val="00842AD9"/>
    <w:rsid w:val="00844195"/>
    <w:rsid w:val="0088235C"/>
    <w:rsid w:val="00887E97"/>
    <w:rsid w:val="00892297"/>
    <w:rsid w:val="008A3209"/>
    <w:rsid w:val="008A689A"/>
    <w:rsid w:val="008B49F2"/>
    <w:rsid w:val="008E0006"/>
    <w:rsid w:val="008E7AFD"/>
    <w:rsid w:val="008F7A19"/>
    <w:rsid w:val="00900022"/>
    <w:rsid w:val="00907C16"/>
    <w:rsid w:val="0091288E"/>
    <w:rsid w:val="00914F94"/>
    <w:rsid w:val="00920FF8"/>
    <w:rsid w:val="00923258"/>
    <w:rsid w:val="0092330C"/>
    <w:rsid w:val="00925096"/>
    <w:rsid w:val="0093043C"/>
    <w:rsid w:val="00930B50"/>
    <w:rsid w:val="009331AC"/>
    <w:rsid w:val="00933ABD"/>
    <w:rsid w:val="00941557"/>
    <w:rsid w:val="00957B5C"/>
    <w:rsid w:val="00960A76"/>
    <w:rsid w:val="00961315"/>
    <w:rsid w:val="0096155A"/>
    <w:rsid w:val="0096707E"/>
    <w:rsid w:val="00976495"/>
    <w:rsid w:val="00977AA9"/>
    <w:rsid w:val="00985B43"/>
    <w:rsid w:val="0099268F"/>
    <w:rsid w:val="00992C67"/>
    <w:rsid w:val="00994651"/>
    <w:rsid w:val="009A0441"/>
    <w:rsid w:val="009A1651"/>
    <w:rsid w:val="009A1E28"/>
    <w:rsid w:val="009C482A"/>
    <w:rsid w:val="009D1164"/>
    <w:rsid w:val="009E1E7B"/>
    <w:rsid w:val="009E28EF"/>
    <w:rsid w:val="009E48DB"/>
    <w:rsid w:val="009F02D6"/>
    <w:rsid w:val="009F16C9"/>
    <w:rsid w:val="009F2326"/>
    <w:rsid w:val="00A00212"/>
    <w:rsid w:val="00A032E0"/>
    <w:rsid w:val="00A05A71"/>
    <w:rsid w:val="00A16C84"/>
    <w:rsid w:val="00A20C0F"/>
    <w:rsid w:val="00A221AD"/>
    <w:rsid w:val="00A22C1A"/>
    <w:rsid w:val="00A25D53"/>
    <w:rsid w:val="00A36BDD"/>
    <w:rsid w:val="00A4578C"/>
    <w:rsid w:val="00A616F9"/>
    <w:rsid w:val="00A66F45"/>
    <w:rsid w:val="00A735E4"/>
    <w:rsid w:val="00A74958"/>
    <w:rsid w:val="00A82E23"/>
    <w:rsid w:val="00AB48A1"/>
    <w:rsid w:val="00AB53D1"/>
    <w:rsid w:val="00AC0790"/>
    <w:rsid w:val="00AC12D7"/>
    <w:rsid w:val="00AC7CDE"/>
    <w:rsid w:val="00AD558F"/>
    <w:rsid w:val="00AD5E04"/>
    <w:rsid w:val="00AD7F0D"/>
    <w:rsid w:val="00B020F5"/>
    <w:rsid w:val="00B06B93"/>
    <w:rsid w:val="00B15284"/>
    <w:rsid w:val="00B256B5"/>
    <w:rsid w:val="00B33523"/>
    <w:rsid w:val="00B4205F"/>
    <w:rsid w:val="00B42469"/>
    <w:rsid w:val="00B466B4"/>
    <w:rsid w:val="00B71F10"/>
    <w:rsid w:val="00B93E97"/>
    <w:rsid w:val="00BA2D90"/>
    <w:rsid w:val="00BA58F5"/>
    <w:rsid w:val="00BB248B"/>
    <w:rsid w:val="00BC0288"/>
    <w:rsid w:val="00BC3C60"/>
    <w:rsid w:val="00BC6C87"/>
    <w:rsid w:val="00BE070B"/>
    <w:rsid w:val="00BE1EDD"/>
    <w:rsid w:val="00BE6A47"/>
    <w:rsid w:val="00BF33D1"/>
    <w:rsid w:val="00BF403D"/>
    <w:rsid w:val="00BF7077"/>
    <w:rsid w:val="00C101CF"/>
    <w:rsid w:val="00C118E8"/>
    <w:rsid w:val="00C257ED"/>
    <w:rsid w:val="00C561DF"/>
    <w:rsid w:val="00C61B7B"/>
    <w:rsid w:val="00C715DB"/>
    <w:rsid w:val="00C720CE"/>
    <w:rsid w:val="00C85517"/>
    <w:rsid w:val="00C86E63"/>
    <w:rsid w:val="00C91AB5"/>
    <w:rsid w:val="00C95779"/>
    <w:rsid w:val="00CB3AEC"/>
    <w:rsid w:val="00CC33AD"/>
    <w:rsid w:val="00CC48F5"/>
    <w:rsid w:val="00CF3B2C"/>
    <w:rsid w:val="00D07160"/>
    <w:rsid w:val="00D10CF0"/>
    <w:rsid w:val="00D1212F"/>
    <w:rsid w:val="00D137A7"/>
    <w:rsid w:val="00D160FD"/>
    <w:rsid w:val="00D23DE7"/>
    <w:rsid w:val="00D30981"/>
    <w:rsid w:val="00D4526D"/>
    <w:rsid w:val="00D50E73"/>
    <w:rsid w:val="00D51247"/>
    <w:rsid w:val="00D5232C"/>
    <w:rsid w:val="00D570FB"/>
    <w:rsid w:val="00D57BDC"/>
    <w:rsid w:val="00D62D31"/>
    <w:rsid w:val="00D83948"/>
    <w:rsid w:val="00DA5D3B"/>
    <w:rsid w:val="00DB4B6B"/>
    <w:rsid w:val="00DC041F"/>
    <w:rsid w:val="00DC0BC9"/>
    <w:rsid w:val="00DE7BE6"/>
    <w:rsid w:val="00DF1029"/>
    <w:rsid w:val="00DF32AC"/>
    <w:rsid w:val="00E028E0"/>
    <w:rsid w:val="00E160D9"/>
    <w:rsid w:val="00E24F4A"/>
    <w:rsid w:val="00E27018"/>
    <w:rsid w:val="00E31B0A"/>
    <w:rsid w:val="00E40EB7"/>
    <w:rsid w:val="00E716F5"/>
    <w:rsid w:val="00E76F46"/>
    <w:rsid w:val="00E77447"/>
    <w:rsid w:val="00E935EE"/>
    <w:rsid w:val="00EA1F92"/>
    <w:rsid w:val="00EA7A9F"/>
    <w:rsid w:val="00EB262D"/>
    <w:rsid w:val="00EB5733"/>
    <w:rsid w:val="00EC16E4"/>
    <w:rsid w:val="00EC33D8"/>
    <w:rsid w:val="00ED276F"/>
    <w:rsid w:val="00EF28D6"/>
    <w:rsid w:val="00F00768"/>
    <w:rsid w:val="00F20317"/>
    <w:rsid w:val="00F217C2"/>
    <w:rsid w:val="00F2223F"/>
    <w:rsid w:val="00F24867"/>
    <w:rsid w:val="00F3232E"/>
    <w:rsid w:val="00F328DC"/>
    <w:rsid w:val="00F33FC4"/>
    <w:rsid w:val="00F438DB"/>
    <w:rsid w:val="00F4754D"/>
    <w:rsid w:val="00F54032"/>
    <w:rsid w:val="00F568C2"/>
    <w:rsid w:val="00F61C96"/>
    <w:rsid w:val="00F65572"/>
    <w:rsid w:val="00F65660"/>
    <w:rsid w:val="00F7336C"/>
    <w:rsid w:val="00FA0B51"/>
    <w:rsid w:val="00FB2BDB"/>
    <w:rsid w:val="00FB5E90"/>
    <w:rsid w:val="00FB7F1F"/>
    <w:rsid w:val="00FD1228"/>
    <w:rsid w:val="00FD7D2F"/>
    <w:rsid w:val="00FF1CCD"/>
    <w:rsid w:val="00FF5ED8"/>
    <w:rsid w:val="00FF6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15"/>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C715D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AD7F0D"/>
    <w:pPr>
      <w:keepNext/>
      <w:keepLines/>
      <w:widowControl/>
      <w:spacing w:before="260" w:after="260" w:line="416" w:lineRule="auto"/>
      <w:jc w:val="left"/>
      <w:outlineLvl w:val="2"/>
    </w:pPr>
    <w:rPr>
      <w:rFonts w:eastAsia="Calibri"/>
      <w:b/>
      <w:bCs/>
      <w:color w:val="00000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E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7E15"/>
    <w:rPr>
      <w:sz w:val="18"/>
      <w:szCs w:val="18"/>
    </w:rPr>
  </w:style>
  <w:style w:type="paragraph" w:styleId="a4">
    <w:name w:val="footer"/>
    <w:basedOn w:val="a"/>
    <w:link w:val="Char0"/>
    <w:uiPriority w:val="99"/>
    <w:unhideWhenUsed/>
    <w:rsid w:val="00747E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7E15"/>
    <w:rPr>
      <w:sz w:val="18"/>
      <w:szCs w:val="18"/>
    </w:rPr>
  </w:style>
  <w:style w:type="paragraph" w:styleId="a5">
    <w:name w:val="Balloon Text"/>
    <w:basedOn w:val="a"/>
    <w:link w:val="Char1"/>
    <w:uiPriority w:val="99"/>
    <w:semiHidden/>
    <w:unhideWhenUsed/>
    <w:rsid w:val="00747E15"/>
    <w:rPr>
      <w:sz w:val="18"/>
      <w:szCs w:val="18"/>
    </w:rPr>
  </w:style>
  <w:style w:type="character" w:customStyle="1" w:styleId="Char1">
    <w:name w:val="批注框文本 Char"/>
    <w:basedOn w:val="a0"/>
    <w:link w:val="a5"/>
    <w:uiPriority w:val="99"/>
    <w:semiHidden/>
    <w:rsid w:val="00747E15"/>
    <w:rPr>
      <w:rFonts w:ascii="Calibri" w:eastAsia="宋体" w:hAnsi="Calibri" w:cs="Times New Roman"/>
      <w:sz w:val="18"/>
      <w:szCs w:val="18"/>
    </w:rPr>
  </w:style>
  <w:style w:type="character" w:styleId="a6">
    <w:name w:val="Strong"/>
    <w:basedOn w:val="a0"/>
    <w:uiPriority w:val="22"/>
    <w:qFormat/>
    <w:rsid w:val="007A7935"/>
    <w:rPr>
      <w:b/>
      <w:bCs/>
    </w:rPr>
  </w:style>
  <w:style w:type="paragraph" w:styleId="z-">
    <w:name w:val="HTML Top of Form"/>
    <w:basedOn w:val="a"/>
    <w:next w:val="a"/>
    <w:link w:val="z-Char"/>
    <w:hidden/>
    <w:uiPriority w:val="99"/>
    <w:semiHidden/>
    <w:unhideWhenUsed/>
    <w:rsid w:val="002F02E2"/>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2F02E2"/>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2F02E2"/>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rsid w:val="002F02E2"/>
    <w:rPr>
      <w:rFonts w:ascii="Arial" w:eastAsia="宋体" w:hAnsi="Arial" w:cs="Arial"/>
      <w:vanish/>
      <w:kern w:val="0"/>
      <w:sz w:val="16"/>
      <w:szCs w:val="16"/>
    </w:rPr>
  </w:style>
  <w:style w:type="character" w:styleId="a7">
    <w:name w:val="footnote reference"/>
    <w:qFormat/>
    <w:rsid w:val="00062AD3"/>
    <w:rPr>
      <w:vertAlign w:val="superscript"/>
    </w:rPr>
  </w:style>
  <w:style w:type="character" w:customStyle="1" w:styleId="Char2">
    <w:name w:val="脚注文本 Char"/>
    <w:link w:val="a8"/>
    <w:qFormat/>
    <w:rsid w:val="00062AD3"/>
    <w:rPr>
      <w:rFonts w:ascii="宋体"/>
      <w:sz w:val="18"/>
      <w:szCs w:val="18"/>
    </w:rPr>
  </w:style>
  <w:style w:type="paragraph" w:styleId="a8">
    <w:name w:val="footnote text"/>
    <w:basedOn w:val="a"/>
    <w:link w:val="Char2"/>
    <w:qFormat/>
    <w:rsid w:val="00062AD3"/>
    <w:pPr>
      <w:tabs>
        <w:tab w:val="left" w:pos="0"/>
        <w:tab w:val="num" w:pos="360"/>
      </w:tabs>
      <w:snapToGrid w:val="0"/>
      <w:jc w:val="left"/>
    </w:pPr>
    <w:rPr>
      <w:rFonts w:ascii="宋体" w:eastAsiaTheme="minorEastAsia" w:hAnsiTheme="minorHAnsi" w:cstheme="minorBidi"/>
      <w:sz w:val="18"/>
      <w:szCs w:val="18"/>
    </w:rPr>
  </w:style>
  <w:style w:type="character" w:customStyle="1" w:styleId="Char10">
    <w:name w:val="脚注文本 Char1"/>
    <w:basedOn w:val="a0"/>
    <w:uiPriority w:val="99"/>
    <w:semiHidden/>
    <w:rsid w:val="00062AD3"/>
    <w:rPr>
      <w:rFonts w:ascii="Calibri" w:eastAsia="宋体" w:hAnsi="Calibri" w:cs="Times New Roman"/>
      <w:sz w:val="18"/>
      <w:szCs w:val="18"/>
    </w:rPr>
  </w:style>
  <w:style w:type="table" w:styleId="a9">
    <w:name w:val="Table Grid"/>
    <w:basedOn w:val="a1"/>
    <w:uiPriority w:val="59"/>
    <w:rsid w:val="009E4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qFormat/>
    <w:rsid w:val="00AD7F0D"/>
    <w:rPr>
      <w:rFonts w:ascii="Calibri" w:eastAsia="Calibri" w:hAnsi="Calibri" w:cs="Times New Roman"/>
      <w:b/>
      <w:bCs/>
      <w:color w:val="000000"/>
      <w:sz w:val="32"/>
      <w:szCs w:val="32"/>
      <w:lang w:val="x-none" w:eastAsia="x-none"/>
    </w:rPr>
  </w:style>
  <w:style w:type="character" w:customStyle="1" w:styleId="2Char">
    <w:name w:val="标题 2 Char"/>
    <w:basedOn w:val="a0"/>
    <w:link w:val="2"/>
    <w:uiPriority w:val="9"/>
    <w:semiHidden/>
    <w:rsid w:val="00C715DB"/>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6965E7"/>
    <w:rPr>
      <w:sz w:val="21"/>
      <w:szCs w:val="21"/>
    </w:rPr>
  </w:style>
  <w:style w:type="paragraph" w:styleId="ab">
    <w:name w:val="annotation text"/>
    <w:basedOn w:val="a"/>
    <w:link w:val="Char3"/>
    <w:uiPriority w:val="99"/>
    <w:semiHidden/>
    <w:unhideWhenUsed/>
    <w:rsid w:val="006965E7"/>
    <w:pPr>
      <w:jc w:val="left"/>
    </w:pPr>
  </w:style>
  <w:style w:type="character" w:customStyle="1" w:styleId="Char3">
    <w:name w:val="批注文字 Char"/>
    <w:basedOn w:val="a0"/>
    <w:link w:val="ab"/>
    <w:uiPriority w:val="99"/>
    <w:semiHidden/>
    <w:rsid w:val="006965E7"/>
    <w:rPr>
      <w:rFonts w:ascii="Calibri" w:eastAsia="宋体" w:hAnsi="Calibri" w:cs="Times New Roman"/>
    </w:rPr>
  </w:style>
  <w:style w:type="paragraph" w:styleId="ac">
    <w:name w:val="annotation subject"/>
    <w:basedOn w:val="ab"/>
    <w:next w:val="ab"/>
    <w:link w:val="Char4"/>
    <w:uiPriority w:val="99"/>
    <w:semiHidden/>
    <w:unhideWhenUsed/>
    <w:rsid w:val="006965E7"/>
    <w:rPr>
      <w:b/>
      <w:bCs/>
    </w:rPr>
  </w:style>
  <w:style w:type="character" w:customStyle="1" w:styleId="Char4">
    <w:name w:val="批注主题 Char"/>
    <w:basedOn w:val="Char3"/>
    <w:link w:val="ac"/>
    <w:uiPriority w:val="99"/>
    <w:semiHidden/>
    <w:rsid w:val="006965E7"/>
    <w:rPr>
      <w:rFonts w:ascii="Calibri" w:eastAsia="宋体" w:hAnsi="Calibri" w:cs="Times New Roman"/>
      <w:b/>
      <w:bCs/>
    </w:rPr>
  </w:style>
  <w:style w:type="paragraph" w:styleId="ad">
    <w:name w:val="Revision"/>
    <w:hidden/>
    <w:uiPriority w:val="99"/>
    <w:semiHidden/>
    <w:rsid w:val="006965E7"/>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15"/>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C715D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AD7F0D"/>
    <w:pPr>
      <w:keepNext/>
      <w:keepLines/>
      <w:widowControl/>
      <w:spacing w:before="260" w:after="260" w:line="416" w:lineRule="auto"/>
      <w:jc w:val="left"/>
      <w:outlineLvl w:val="2"/>
    </w:pPr>
    <w:rPr>
      <w:rFonts w:eastAsia="Calibri"/>
      <w:b/>
      <w:bCs/>
      <w:color w:val="00000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E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7E15"/>
    <w:rPr>
      <w:sz w:val="18"/>
      <w:szCs w:val="18"/>
    </w:rPr>
  </w:style>
  <w:style w:type="paragraph" w:styleId="a4">
    <w:name w:val="footer"/>
    <w:basedOn w:val="a"/>
    <w:link w:val="Char0"/>
    <w:uiPriority w:val="99"/>
    <w:unhideWhenUsed/>
    <w:rsid w:val="00747E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7E15"/>
    <w:rPr>
      <w:sz w:val="18"/>
      <w:szCs w:val="18"/>
    </w:rPr>
  </w:style>
  <w:style w:type="paragraph" w:styleId="a5">
    <w:name w:val="Balloon Text"/>
    <w:basedOn w:val="a"/>
    <w:link w:val="Char1"/>
    <w:uiPriority w:val="99"/>
    <w:semiHidden/>
    <w:unhideWhenUsed/>
    <w:rsid w:val="00747E15"/>
    <w:rPr>
      <w:sz w:val="18"/>
      <w:szCs w:val="18"/>
    </w:rPr>
  </w:style>
  <w:style w:type="character" w:customStyle="1" w:styleId="Char1">
    <w:name w:val="批注框文本 Char"/>
    <w:basedOn w:val="a0"/>
    <w:link w:val="a5"/>
    <w:uiPriority w:val="99"/>
    <w:semiHidden/>
    <w:rsid w:val="00747E15"/>
    <w:rPr>
      <w:rFonts w:ascii="Calibri" w:eastAsia="宋体" w:hAnsi="Calibri" w:cs="Times New Roman"/>
      <w:sz w:val="18"/>
      <w:szCs w:val="18"/>
    </w:rPr>
  </w:style>
  <w:style w:type="character" w:styleId="a6">
    <w:name w:val="Strong"/>
    <w:basedOn w:val="a0"/>
    <w:uiPriority w:val="22"/>
    <w:qFormat/>
    <w:rsid w:val="007A7935"/>
    <w:rPr>
      <w:b/>
      <w:bCs/>
    </w:rPr>
  </w:style>
  <w:style w:type="paragraph" w:styleId="z-">
    <w:name w:val="HTML Top of Form"/>
    <w:basedOn w:val="a"/>
    <w:next w:val="a"/>
    <w:link w:val="z-Char"/>
    <w:hidden/>
    <w:uiPriority w:val="99"/>
    <w:semiHidden/>
    <w:unhideWhenUsed/>
    <w:rsid w:val="002F02E2"/>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2F02E2"/>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2F02E2"/>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rsid w:val="002F02E2"/>
    <w:rPr>
      <w:rFonts w:ascii="Arial" w:eastAsia="宋体" w:hAnsi="Arial" w:cs="Arial"/>
      <w:vanish/>
      <w:kern w:val="0"/>
      <w:sz w:val="16"/>
      <w:szCs w:val="16"/>
    </w:rPr>
  </w:style>
  <w:style w:type="character" w:styleId="a7">
    <w:name w:val="footnote reference"/>
    <w:qFormat/>
    <w:rsid w:val="00062AD3"/>
    <w:rPr>
      <w:vertAlign w:val="superscript"/>
    </w:rPr>
  </w:style>
  <w:style w:type="character" w:customStyle="1" w:styleId="Char2">
    <w:name w:val="脚注文本 Char"/>
    <w:link w:val="a8"/>
    <w:qFormat/>
    <w:rsid w:val="00062AD3"/>
    <w:rPr>
      <w:rFonts w:ascii="宋体"/>
      <w:sz w:val="18"/>
      <w:szCs w:val="18"/>
    </w:rPr>
  </w:style>
  <w:style w:type="paragraph" w:styleId="a8">
    <w:name w:val="footnote text"/>
    <w:basedOn w:val="a"/>
    <w:link w:val="Char2"/>
    <w:qFormat/>
    <w:rsid w:val="00062AD3"/>
    <w:pPr>
      <w:tabs>
        <w:tab w:val="left" w:pos="0"/>
        <w:tab w:val="num" w:pos="360"/>
      </w:tabs>
      <w:snapToGrid w:val="0"/>
      <w:jc w:val="left"/>
    </w:pPr>
    <w:rPr>
      <w:rFonts w:ascii="宋体" w:eastAsiaTheme="minorEastAsia" w:hAnsiTheme="minorHAnsi" w:cstheme="minorBidi"/>
      <w:sz w:val="18"/>
      <w:szCs w:val="18"/>
    </w:rPr>
  </w:style>
  <w:style w:type="character" w:customStyle="1" w:styleId="Char10">
    <w:name w:val="脚注文本 Char1"/>
    <w:basedOn w:val="a0"/>
    <w:uiPriority w:val="99"/>
    <w:semiHidden/>
    <w:rsid w:val="00062AD3"/>
    <w:rPr>
      <w:rFonts w:ascii="Calibri" w:eastAsia="宋体" w:hAnsi="Calibri" w:cs="Times New Roman"/>
      <w:sz w:val="18"/>
      <w:szCs w:val="18"/>
    </w:rPr>
  </w:style>
  <w:style w:type="table" w:styleId="a9">
    <w:name w:val="Table Grid"/>
    <w:basedOn w:val="a1"/>
    <w:uiPriority w:val="59"/>
    <w:rsid w:val="009E4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qFormat/>
    <w:rsid w:val="00AD7F0D"/>
    <w:rPr>
      <w:rFonts w:ascii="Calibri" w:eastAsia="Calibri" w:hAnsi="Calibri" w:cs="Times New Roman"/>
      <w:b/>
      <w:bCs/>
      <w:color w:val="000000"/>
      <w:sz w:val="32"/>
      <w:szCs w:val="32"/>
      <w:lang w:val="x-none" w:eastAsia="x-none"/>
    </w:rPr>
  </w:style>
  <w:style w:type="character" w:customStyle="1" w:styleId="2Char">
    <w:name w:val="标题 2 Char"/>
    <w:basedOn w:val="a0"/>
    <w:link w:val="2"/>
    <w:uiPriority w:val="9"/>
    <w:semiHidden/>
    <w:rsid w:val="00C715DB"/>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6965E7"/>
    <w:rPr>
      <w:sz w:val="21"/>
      <w:szCs w:val="21"/>
    </w:rPr>
  </w:style>
  <w:style w:type="paragraph" w:styleId="ab">
    <w:name w:val="annotation text"/>
    <w:basedOn w:val="a"/>
    <w:link w:val="Char3"/>
    <w:uiPriority w:val="99"/>
    <w:semiHidden/>
    <w:unhideWhenUsed/>
    <w:rsid w:val="006965E7"/>
    <w:pPr>
      <w:jc w:val="left"/>
    </w:pPr>
  </w:style>
  <w:style w:type="character" w:customStyle="1" w:styleId="Char3">
    <w:name w:val="批注文字 Char"/>
    <w:basedOn w:val="a0"/>
    <w:link w:val="ab"/>
    <w:uiPriority w:val="99"/>
    <w:semiHidden/>
    <w:rsid w:val="006965E7"/>
    <w:rPr>
      <w:rFonts w:ascii="Calibri" w:eastAsia="宋体" w:hAnsi="Calibri" w:cs="Times New Roman"/>
    </w:rPr>
  </w:style>
  <w:style w:type="paragraph" w:styleId="ac">
    <w:name w:val="annotation subject"/>
    <w:basedOn w:val="ab"/>
    <w:next w:val="ab"/>
    <w:link w:val="Char4"/>
    <w:uiPriority w:val="99"/>
    <w:semiHidden/>
    <w:unhideWhenUsed/>
    <w:rsid w:val="006965E7"/>
    <w:rPr>
      <w:b/>
      <w:bCs/>
    </w:rPr>
  </w:style>
  <w:style w:type="character" w:customStyle="1" w:styleId="Char4">
    <w:name w:val="批注主题 Char"/>
    <w:basedOn w:val="Char3"/>
    <w:link w:val="ac"/>
    <w:uiPriority w:val="99"/>
    <w:semiHidden/>
    <w:rsid w:val="006965E7"/>
    <w:rPr>
      <w:rFonts w:ascii="Calibri" w:eastAsia="宋体" w:hAnsi="Calibri" w:cs="Times New Roman"/>
      <w:b/>
      <w:bCs/>
    </w:rPr>
  </w:style>
  <w:style w:type="paragraph" w:styleId="ad">
    <w:name w:val="Revision"/>
    <w:hidden/>
    <w:uiPriority w:val="99"/>
    <w:semiHidden/>
    <w:rsid w:val="006965E7"/>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8909">
      <w:bodyDiv w:val="1"/>
      <w:marLeft w:val="0"/>
      <w:marRight w:val="0"/>
      <w:marTop w:val="0"/>
      <w:marBottom w:val="0"/>
      <w:divBdr>
        <w:top w:val="none" w:sz="0" w:space="0" w:color="auto"/>
        <w:left w:val="none" w:sz="0" w:space="0" w:color="auto"/>
        <w:bottom w:val="none" w:sz="0" w:space="0" w:color="auto"/>
        <w:right w:val="none" w:sz="0" w:space="0" w:color="auto"/>
      </w:divBdr>
    </w:div>
    <w:div w:id="63142137">
      <w:bodyDiv w:val="1"/>
      <w:marLeft w:val="0"/>
      <w:marRight w:val="0"/>
      <w:marTop w:val="0"/>
      <w:marBottom w:val="0"/>
      <w:divBdr>
        <w:top w:val="none" w:sz="0" w:space="0" w:color="auto"/>
        <w:left w:val="none" w:sz="0" w:space="0" w:color="auto"/>
        <w:bottom w:val="none" w:sz="0" w:space="0" w:color="auto"/>
        <w:right w:val="none" w:sz="0" w:space="0" w:color="auto"/>
      </w:divBdr>
    </w:div>
    <w:div w:id="206767094">
      <w:bodyDiv w:val="1"/>
      <w:marLeft w:val="0"/>
      <w:marRight w:val="0"/>
      <w:marTop w:val="0"/>
      <w:marBottom w:val="0"/>
      <w:divBdr>
        <w:top w:val="none" w:sz="0" w:space="0" w:color="auto"/>
        <w:left w:val="none" w:sz="0" w:space="0" w:color="auto"/>
        <w:bottom w:val="none" w:sz="0" w:space="0" w:color="auto"/>
        <w:right w:val="none" w:sz="0" w:space="0" w:color="auto"/>
      </w:divBdr>
    </w:div>
    <w:div w:id="278225019">
      <w:bodyDiv w:val="1"/>
      <w:marLeft w:val="0"/>
      <w:marRight w:val="0"/>
      <w:marTop w:val="0"/>
      <w:marBottom w:val="0"/>
      <w:divBdr>
        <w:top w:val="none" w:sz="0" w:space="0" w:color="auto"/>
        <w:left w:val="none" w:sz="0" w:space="0" w:color="auto"/>
        <w:bottom w:val="none" w:sz="0" w:space="0" w:color="auto"/>
        <w:right w:val="none" w:sz="0" w:space="0" w:color="auto"/>
      </w:divBdr>
    </w:div>
    <w:div w:id="280233646">
      <w:bodyDiv w:val="1"/>
      <w:marLeft w:val="0"/>
      <w:marRight w:val="0"/>
      <w:marTop w:val="0"/>
      <w:marBottom w:val="0"/>
      <w:divBdr>
        <w:top w:val="none" w:sz="0" w:space="0" w:color="auto"/>
        <w:left w:val="none" w:sz="0" w:space="0" w:color="auto"/>
        <w:bottom w:val="none" w:sz="0" w:space="0" w:color="auto"/>
        <w:right w:val="none" w:sz="0" w:space="0" w:color="auto"/>
      </w:divBdr>
    </w:div>
    <w:div w:id="355084502">
      <w:bodyDiv w:val="1"/>
      <w:marLeft w:val="0"/>
      <w:marRight w:val="0"/>
      <w:marTop w:val="0"/>
      <w:marBottom w:val="0"/>
      <w:divBdr>
        <w:top w:val="none" w:sz="0" w:space="0" w:color="auto"/>
        <w:left w:val="none" w:sz="0" w:space="0" w:color="auto"/>
        <w:bottom w:val="none" w:sz="0" w:space="0" w:color="auto"/>
        <w:right w:val="none" w:sz="0" w:space="0" w:color="auto"/>
      </w:divBdr>
    </w:div>
    <w:div w:id="384791115">
      <w:bodyDiv w:val="1"/>
      <w:marLeft w:val="0"/>
      <w:marRight w:val="0"/>
      <w:marTop w:val="0"/>
      <w:marBottom w:val="0"/>
      <w:divBdr>
        <w:top w:val="none" w:sz="0" w:space="0" w:color="auto"/>
        <w:left w:val="none" w:sz="0" w:space="0" w:color="auto"/>
        <w:bottom w:val="none" w:sz="0" w:space="0" w:color="auto"/>
        <w:right w:val="none" w:sz="0" w:space="0" w:color="auto"/>
      </w:divBdr>
    </w:div>
    <w:div w:id="401491719">
      <w:bodyDiv w:val="1"/>
      <w:marLeft w:val="0"/>
      <w:marRight w:val="0"/>
      <w:marTop w:val="0"/>
      <w:marBottom w:val="0"/>
      <w:divBdr>
        <w:top w:val="none" w:sz="0" w:space="0" w:color="auto"/>
        <w:left w:val="none" w:sz="0" w:space="0" w:color="auto"/>
        <w:bottom w:val="none" w:sz="0" w:space="0" w:color="auto"/>
        <w:right w:val="none" w:sz="0" w:space="0" w:color="auto"/>
      </w:divBdr>
    </w:div>
    <w:div w:id="508760500">
      <w:bodyDiv w:val="1"/>
      <w:marLeft w:val="0"/>
      <w:marRight w:val="0"/>
      <w:marTop w:val="0"/>
      <w:marBottom w:val="0"/>
      <w:divBdr>
        <w:top w:val="none" w:sz="0" w:space="0" w:color="auto"/>
        <w:left w:val="none" w:sz="0" w:space="0" w:color="auto"/>
        <w:bottom w:val="none" w:sz="0" w:space="0" w:color="auto"/>
        <w:right w:val="none" w:sz="0" w:space="0" w:color="auto"/>
      </w:divBdr>
    </w:div>
    <w:div w:id="536428884">
      <w:bodyDiv w:val="1"/>
      <w:marLeft w:val="0"/>
      <w:marRight w:val="0"/>
      <w:marTop w:val="0"/>
      <w:marBottom w:val="0"/>
      <w:divBdr>
        <w:top w:val="none" w:sz="0" w:space="0" w:color="auto"/>
        <w:left w:val="none" w:sz="0" w:space="0" w:color="auto"/>
        <w:bottom w:val="none" w:sz="0" w:space="0" w:color="auto"/>
        <w:right w:val="none" w:sz="0" w:space="0" w:color="auto"/>
      </w:divBdr>
    </w:div>
    <w:div w:id="550045622">
      <w:bodyDiv w:val="1"/>
      <w:marLeft w:val="0"/>
      <w:marRight w:val="0"/>
      <w:marTop w:val="0"/>
      <w:marBottom w:val="0"/>
      <w:divBdr>
        <w:top w:val="none" w:sz="0" w:space="0" w:color="auto"/>
        <w:left w:val="none" w:sz="0" w:space="0" w:color="auto"/>
        <w:bottom w:val="none" w:sz="0" w:space="0" w:color="auto"/>
        <w:right w:val="none" w:sz="0" w:space="0" w:color="auto"/>
      </w:divBdr>
    </w:div>
    <w:div w:id="568275169">
      <w:bodyDiv w:val="1"/>
      <w:marLeft w:val="0"/>
      <w:marRight w:val="0"/>
      <w:marTop w:val="0"/>
      <w:marBottom w:val="0"/>
      <w:divBdr>
        <w:top w:val="none" w:sz="0" w:space="0" w:color="auto"/>
        <w:left w:val="none" w:sz="0" w:space="0" w:color="auto"/>
        <w:bottom w:val="none" w:sz="0" w:space="0" w:color="auto"/>
        <w:right w:val="none" w:sz="0" w:space="0" w:color="auto"/>
      </w:divBdr>
    </w:div>
    <w:div w:id="647322714">
      <w:bodyDiv w:val="1"/>
      <w:marLeft w:val="0"/>
      <w:marRight w:val="0"/>
      <w:marTop w:val="0"/>
      <w:marBottom w:val="0"/>
      <w:divBdr>
        <w:top w:val="none" w:sz="0" w:space="0" w:color="auto"/>
        <w:left w:val="none" w:sz="0" w:space="0" w:color="auto"/>
        <w:bottom w:val="none" w:sz="0" w:space="0" w:color="auto"/>
        <w:right w:val="none" w:sz="0" w:space="0" w:color="auto"/>
      </w:divBdr>
    </w:div>
    <w:div w:id="654573849">
      <w:bodyDiv w:val="1"/>
      <w:marLeft w:val="0"/>
      <w:marRight w:val="0"/>
      <w:marTop w:val="0"/>
      <w:marBottom w:val="0"/>
      <w:divBdr>
        <w:top w:val="none" w:sz="0" w:space="0" w:color="auto"/>
        <w:left w:val="none" w:sz="0" w:space="0" w:color="auto"/>
        <w:bottom w:val="none" w:sz="0" w:space="0" w:color="auto"/>
        <w:right w:val="none" w:sz="0" w:space="0" w:color="auto"/>
      </w:divBdr>
    </w:div>
    <w:div w:id="684479599">
      <w:bodyDiv w:val="1"/>
      <w:marLeft w:val="0"/>
      <w:marRight w:val="0"/>
      <w:marTop w:val="0"/>
      <w:marBottom w:val="0"/>
      <w:divBdr>
        <w:top w:val="none" w:sz="0" w:space="0" w:color="auto"/>
        <w:left w:val="none" w:sz="0" w:space="0" w:color="auto"/>
        <w:bottom w:val="none" w:sz="0" w:space="0" w:color="auto"/>
        <w:right w:val="none" w:sz="0" w:space="0" w:color="auto"/>
      </w:divBdr>
    </w:div>
    <w:div w:id="692220714">
      <w:bodyDiv w:val="1"/>
      <w:marLeft w:val="0"/>
      <w:marRight w:val="0"/>
      <w:marTop w:val="0"/>
      <w:marBottom w:val="0"/>
      <w:divBdr>
        <w:top w:val="none" w:sz="0" w:space="0" w:color="auto"/>
        <w:left w:val="none" w:sz="0" w:space="0" w:color="auto"/>
        <w:bottom w:val="none" w:sz="0" w:space="0" w:color="auto"/>
        <w:right w:val="none" w:sz="0" w:space="0" w:color="auto"/>
      </w:divBdr>
    </w:div>
    <w:div w:id="712651871">
      <w:bodyDiv w:val="1"/>
      <w:marLeft w:val="0"/>
      <w:marRight w:val="0"/>
      <w:marTop w:val="0"/>
      <w:marBottom w:val="0"/>
      <w:divBdr>
        <w:top w:val="none" w:sz="0" w:space="0" w:color="auto"/>
        <w:left w:val="none" w:sz="0" w:space="0" w:color="auto"/>
        <w:bottom w:val="none" w:sz="0" w:space="0" w:color="auto"/>
        <w:right w:val="none" w:sz="0" w:space="0" w:color="auto"/>
      </w:divBdr>
    </w:div>
    <w:div w:id="750352317">
      <w:bodyDiv w:val="1"/>
      <w:marLeft w:val="0"/>
      <w:marRight w:val="0"/>
      <w:marTop w:val="0"/>
      <w:marBottom w:val="0"/>
      <w:divBdr>
        <w:top w:val="none" w:sz="0" w:space="0" w:color="auto"/>
        <w:left w:val="none" w:sz="0" w:space="0" w:color="auto"/>
        <w:bottom w:val="none" w:sz="0" w:space="0" w:color="auto"/>
        <w:right w:val="none" w:sz="0" w:space="0" w:color="auto"/>
      </w:divBdr>
    </w:div>
    <w:div w:id="767121800">
      <w:bodyDiv w:val="1"/>
      <w:marLeft w:val="0"/>
      <w:marRight w:val="0"/>
      <w:marTop w:val="0"/>
      <w:marBottom w:val="0"/>
      <w:divBdr>
        <w:top w:val="none" w:sz="0" w:space="0" w:color="auto"/>
        <w:left w:val="none" w:sz="0" w:space="0" w:color="auto"/>
        <w:bottom w:val="none" w:sz="0" w:space="0" w:color="auto"/>
        <w:right w:val="none" w:sz="0" w:space="0" w:color="auto"/>
      </w:divBdr>
    </w:div>
    <w:div w:id="848712787">
      <w:bodyDiv w:val="1"/>
      <w:marLeft w:val="0"/>
      <w:marRight w:val="0"/>
      <w:marTop w:val="0"/>
      <w:marBottom w:val="0"/>
      <w:divBdr>
        <w:top w:val="none" w:sz="0" w:space="0" w:color="auto"/>
        <w:left w:val="none" w:sz="0" w:space="0" w:color="auto"/>
        <w:bottom w:val="none" w:sz="0" w:space="0" w:color="auto"/>
        <w:right w:val="none" w:sz="0" w:space="0" w:color="auto"/>
      </w:divBdr>
    </w:div>
    <w:div w:id="850726842">
      <w:bodyDiv w:val="1"/>
      <w:marLeft w:val="0"/>
      <w:marRight w:val="0"/>
      <w:marTop w:val="0"/>
      <w:marBottom w:val="0"/>
      <w:divBdr>
        <w:top w:val="none" w:sz="0" w:space="0" w:color="auto"/>
        <w:left w:val="none" w:sz="0" w:space="0" w:color="auto"/>
        <w:bottom w:val="none" w:sz="0" w:space="0" w:color="auto"/>
        <w:right w:val="none" w:sz="0" w:space="0" w:color="auto"/>
      </w:divBdr>
    </w:div>
    <w:div w:id="854146831">
      <w:bodyDiv w:val="1"/>
      <w:marLeft w:val="0"/>
      <w:marRight w:val="0"/>
      <w:marTop w:val="0"/>
      <w:marBottom w:val="0"/>
      <w:divBdr>
        <w:top w:val="none" w:sz="0" w:space="0" w:color="auto"/>
        <w:left w:val="none" w:sz="0" w:space="0" w:color="auto"/>
        <w:bottom w:val="none" w:sz="0" w:space="0" w:color="auto"/>
        <w:right w:val="none" w:sz="0" w:space="0" w:color="auto"/>
      </w:divBdr>
    </w:div>
    <w:div w:id="875966793">
      <w:bodyDiv w:val="1"/>
      <w:marLeft w:val="0"/>
      <w:marRight w:val="0"/>
      <w:marTop w:val="0"/>
      <w:marBottom w:val="0"/>
      <w:divBdr>
        <w:top w:val="none" w:sz="0" w:space="0" w:color="auto"/>
        <w:left w:val="none" w:sz="0" w:space="0" w:color="auto"/>
        <w:bottom w:val="none" w:sz="0" w:space="0" w:color="auto"/>
        <w:right w:val="none" w:sz="0" w:space="0" w:color="auto"/>
      </w:divBdr>
    </w:div>
    <w:div w:id="1037124987">
      <w:bodyDiv w:val="1"/>
      <w:marLeft w:val="0"/>
      <w:marRight w:val="0"/>
      <w:marTop w:val="0"/>
      <w:marBottom w:val="0"/>
      <w:divBdr>
        <w:top w:val="none" w:sz="0" w:space="0" w:color="auto"/>
        <w:left w:val="none" w:sz="0" w:space="0" w:color="auto"/>
        <w:bottom w:val="none" w:sz="0" w:space="0" w:color="auto"/>
        <w:right w:val="none" w:sz="0" w:space="0" w:color="auto"/>
      </w:divBdr>
    </w:div>
    <w:div w:id="1077558174">
      <w:bodyDiv w:val="1"/>
      <w:marLeft w:val="0"/>
      <w:marRight w:val="0"/>
      <w:marTop w:val="0"/>
      <w:marBottom w:val="0"/>
      <w:divBdr>
        <w:top w:val="none" w:sz="0" w:space="0" w:color="auto"/>
        <w:left w:val="none" w:sz="0" w:space="0" w:color="auto"/>
        <w:bottom w:val="none" w:sz="0" w:space="0" w:color="auto"/>
        <w:right w:val="none" w:sz="0" w:space="0" w:color="auto"/>
      </w:divBdr>
    </w:div>
    <w:div w:id="1091119424">
      <w:bodyDiv w:val="1"/>
      <w:marLeft w:val="0"/>
      <w:marRight w:val="0"/>
      <w:marTop w:val="0"/>
      <w:marBottom w:val="0"/>
      <w:divBdr>
        <w:top w:val="none" w:sz="0" w:space="0" w:color="auto"/>
        <w:left w:val="none" w:sz="0" w:space="0" w:color="auto"/>
        <w:bottom w:val="none" w:sz="0" w:space="0" w:color="auto"/>
        <w:right w:val="none" w:sz="0" w:space="0" w:color="auto"/>
      </w:divBdr>
    </w:div>
    <w:div w:id="1098411140">
      <w:bodyDiv w:val="1"/>
      <w:marLeft w:val="0"/>
      <w:marRight w:val="0"/>
      <w:marTop w:val="0"/>
      <w:marBottom w:val="0"/>
      <w:divBdr>
        <w:top w:val="none" w:sz="0" w:space="0" w:color="auto"/>
        <w:left w:val="none" w:sz="0" w:space="0" w:color="auto"/>
        <w:bottom w:val="none" w:sz="0" w:space="0" w:color="auto"/>
        <w:right w:val="none" w:sz="0" w:space="0" w:color="auto"/>
      </w:divBdr>
    </w:div>
    <w:div w:id="1132165759">
      <w:bodyDiv w:val="1"/>
      <w:marLeft w:val="0"/>
      <w:marRight w:val="0"/>
      <w:marTop w:val="0"/>
      <w:marBottom w:val="0"/>
      <w:divBdr>
        <w:top w:val="none" w:sz="0" w:space="0" w:color="auto"/>
        <w:left w:val="none" w:sz="0" w:space="0" w:color="auto"/>
        <w:bottom w:val="none" w:sz="0" w:space="0" w:color="auto"/>
        <w:right w:val="none" w:sz="0" w:space="0" w:color="auto"/>
      </w:divBdr>
    </w:div>
    <w:div w:id="1137258959">
      <w:bodyDiv w:val="1"/>
      <w:marLeft w:val="0"/>
      <w:marRight w:val="0"/>
      <w:marTop w:val="0"/>
      <w:marBottom w:val="0"/>
      <w:divBdr>
        <w:top w:val="none" w:sz="0" w:space="0" w:color="auto"/>
        <w:left w:val="none" w:sz="0" w:space="0" w:color="auto"/>
        <w:bottom w:val="none" w:sz="0" w:space="0" w:color="auto"/>
        <w:right w:val="none" w:sz="0" w:space="0" w:color="auto"/>
      </w:divBdr>
    </w:div>
    <w:div w:id="1160198360">
      <w:bodyDiv w:val="1"/>
      <w:marLeft w:val="0"/>
      <w:marRight w:val="0"/>
      <w:marTop w:val="0"/>
      <w:marBottom w:val="0"/>
      <w:divBdr>
        <w:top w:val="none" w:sz="0" w:space="0" w:color="auto"/>
        <w:left w:val="none" w:sz="0" w:space="0" w:color="auto"/>
        <w:bottom w:val="none" w:sz="0" w:space="0" w:color="auto"/>
        <w:right w:val="none" w:sz="0" w:space="0" w:color="auto"/>
      </w:divBdr>
    </w:div>
    <w:div w:id="1169634359">
      <w:bodyDiv w:val="1"/>
      <w:marLeft w:val="0"/>
      <w:marRight w:val="0"/>
      <w:marTop w:val="0"/>
      <w:marBottom w:val="0"/>
      <w:divBdr>
        <w:top w:val="none" w:sz="0" w:space="0" w:color="auto"/>
        <w:left w:val="none" w:sz="0" w:space="0" w:color="auto"/>
        <w:bottom w:val="none" w:sz="0" w:space="0" w:color="auto"/>
        <w:right w:val="none" w:sz="0" w:space="0" w:color="auto"/>
      </w:divBdr>
    </w:div>
    <w:div w:id="1171260843">
      <w:bodyDiv w:val="1"/>
      <w:marLeft w:val="0"/>
      <w:marRight w:val="0"/>
      <w:marTop w:val="0"/>
      <w:marBottom w:val="0"/>
      <w:divBdr>
        <w:top w:val="none" w:sz="0" w:space="0" w:color="auto"/>
        <w:left w:val="none" w:sz="0" w:space="0" w:color="auto"/>
        <w:bottom w:val="none" w:sz="0" w:space="0" w:color="auto"/>
        <w:right w:val="none" w:sz="0" w:space="0" w:color="auto"/>
      </w:divBdr>
    </w:div>
    <w:div w:id="1193571914">
      <w:bodyDiv w:val="1"/>
      <w:marLeft w:val="0"/>
      <w:marRight w:val="0"/>
      <w:marTop w:val="0"/>
      <w:marBottom w:val="0"/>
      <w:divBdr>
        <w:top w:val="none" w:sz="0" w:space="0" w:color="auto"/>
        <w:left w:val="none" w:sz="0" w:space="0" w:color="auto"/>
        <w:bottom w:val="none" w:sz="0" w:space="0" w:color="auto"/>
        <w:right w:val="none" w:sz="0" w:space="0" w:color="auto"/>
      </w:divBdr>
    </w:div>
    <w:div w:id="1271082075">
      <w:bodyDiv w:val="1"/>
      <w:marLeft w:val="0"/>
      <w:marRight w:val="0"/>
      <w:marTop w:val="0"/>
      <w:marBottom w:val="0"/>
      <w:divBdr>
        <w:top w:val="none" w:sz="0" w:space="0" w:color="auto"/>
        <w:left w:val="none" w:sz="0" w:space="0" w:color="auto"/>
        <w:bottom w:val="none" w:sz="0" w:space="0" w:color="auto"/>
        <w:right w:val="none" w:sz="0" w:space="0" w:color="auto"/>
      </w:divBdr>
    </w:div>
    <w:div w:id="1313829020">
      <w:bodyDiv w:val="1"/>
      <w:marLeft w:val="0"/>
      <w:marRight w:val="0"/>
      <w:marTop w:val="0"/>
      <w:marBottom w:val="0"/>
      <w:divBdr>
        <w:top w:val="none" w:sz="0" w:space="0" w:color="auto"/>
        <w:left w:val="none" w:sz="0" w:space="0" w:color="auto"/>
        <w:bottom w:val="none" w:sz="0" w:space="0" w:color="auto"/>
        <w:right w:val="none" w:sz="0" w:space="0" w:color="auto"/>
      </w:divBdr>
    </w:div>
    <w:div w:id="1376463591">
      <w:bodyDiv w:val="1"/>
      <w:marLeft w:val="0"/>
      <w:marRight w:val="0"/>
      <w:marTop w:val="0"/>
      <w:marBottom w:val="0"/>
      <w:divBdr>
        <w:top w:val="none" w:sz="0" w:space="0" w:color="auto"/>
        <w:left w:val="none" w:sz="0" w:space="0" w:color="auto"/>
        <w:bottom w:val="none" w:sz="0" w:space="0" w:color="auto"/>
        <w:right w:val="none" w:sz="0" w:space="0" w:color="auto"/>
      </w:divBdr>
    </w:div>
    <w:div w:id="1466777094">
      <w:bodyDiv w:val="1"/>
      <w:marLeft w:val="0"/>
      <w:marRight w:val="0"/>
      <w:marTop w:val="0"/>
      <w:marBottom w:val="0"/>
      <w:divBdr>
        <w:top w:val="none" w:sz="0" w:space="0" w:color="auto"/>
        <w:left w:val="none" w:sz="0" w:space="0" w:color="auto"/>
        <w:bottom w:val="none" w:sz="0" w:space="0" w:color="auto"/>
        <w:right w:val="none" w:sz="0" w:space="0" w:color="auto"/>
      </w:divBdr>
    </w:div>
    <w:div w:id="1476869645">
      <w:bodyDiv w:val="1"/>
      <w:marLeft w:val="0"/>
      <w:marRight w:val="0"/>
      <w:marTop w:val="0"/>
      <w:marBottom w:val="0"/>
      <w:divBdr>
        <w:top w:val="none" w:sz="0" w:space="0" w:color="auto"/>
        <w:left w:val="none" w:sz="0" w:space="0" w:color="auto"/>
        <w:bottom w:val="none" w:sz="0" w:space="0" w:color="auto"/>
        <w:right w:val="none" w:sz="0" w:space="0" w:color="auto"/>
      </w:divBdr>
    </w:div>
    <w:div w:id="1484540852">
      <w:bodyDiv w:val="1"/>
      <w:marLeft w:val="0"/>
      <w:marRight w:val="0"/>
      <w:marTop w:val="0"/>
      <w:marBottom w:val="0"/>
      <w:divBdr>
        <w:top w:val="none" w:sz="0" w:space="0" w:color="auto"/>
        <w:left w:val="none" w:sz="0" w:space="0" w:color="auto"/>
        <w:bottom w:val="none" w:sz="0" w:space="0" w:color="auto"/>
        <w:right w:val="none" w:sz="0" w:space="0" w:color="auto"/>
      </w:divBdr>
    </w:div>
    <w:div w:id="1488978878">
      <w:bodyDiv w:val="1"/>
      <w:marLeft w:val="0"/>
      <w:marRight w:val="0"/>
      <w:marTop w:val="0"/>
      <w:marBottom w:val="0"/>
      <w:divBdr>
        <w:top w:val="none" w:sz="0" w:space="0" w:color="auto"/>
        <w:left w:val="none" w:sz="0" w:space="0" w:color="auto"/>
        <w:bottom w:val="none" w:sz="0" w:space="0" w:color="auto"/>
        <w:right w:val="none" w:sz="0" w:space="0" w:color="auto"/>
      </w:divBdr>
    </w:div>
    <w:div w:id="1506701779">
      <w:bodyDiv w:val="1"/>
      <w:marLeft w:val="0"/>
      <w:marRight w:val="0"/>
      <w:marTop w:val="0"/>
      <w:marBottom w:val="0"/>
      <w:divBdr>
        <w:top w:val="none" w:sz="0" w:space="0" w:color="auto"/>
        <w:left w:val="none" w:sz="0" w:space="0" w:color="auto"/>
        <w:bottom w:val="none" w:sz="0" w:space="0" w:color="auto"/>
        <w:right w:val="none" w:sz="0" w:space="0" w:color="auto"/>
      </w:divBdr>
    </w:div>
    <w:div w:id="1530412175">
      <w:bodyDiv w:val="1"/>
      <w:marLeft w:val="0"/>
      <w:marRight w:val="0"/>
      <w:marTop w:val="0"/>
      <w:marBottom w:val="0"/>
      <w:divBdr>
        <w:top w:val="none" w:sz="0" w:space="0" w:color="auto"/>
        <w:left w:val="none" w:sz="0" w:space="0" w:color="auto"/>
        <w:bottom w:val="none" w:sz="0" w:space="0" w:color="auto"/>
        <w:right w:val="none" w:sz="0" w:space="0" w:color="auto"/>
      </w:divBdr>
    </w:div>
    <w:div w:id="1544754381">
      <w:bodyDiv w:val="1"/>
      <w:marLeft w:val="0"/>
      <w:marRight w:val="0"/>
      <w:marTop w:val="0"/>
      <w:marBottom w:val="0"/>
      <w:divBdr>
        <w:top w:val="none" w:sz="0" w:space="0" w:color="auto"/>
        <w:left w:val="none" w:sz="0" w:space="0" w:color="auto"/>
        <w:bottom w:val="none" w:sz="0" w:space="0" w:color="auto"/>
        <w:right w:val="none" w:sz="0" w:space="0" w:color="auto"/>
      </w:divBdr>
    </w:div>
    <w:div w:id="1563642169">
      <w:bodyDiv w:val="1"/>
      <w:marLeft w:val="0"/>
      <w:marRight w:val="0"/>
      <w:marTop w:val="0"/>
      <w:marBottom w:val="0"/>
      <w:divBdr>
        <w:top w:val="none" w:sz="0" w:space="0" w:color="auto"/>
        <w:left w:val="none" w:sz="0" w:space="0" w:color="auto"/>
        <w:bottom w:val="none" w:sz="0" w:space="0" w:color="auto"/>
        <w:right w:val="none" w:sz="0" w:space="0" w:color="auto"/>
      </w:divBdr>
    </w:div>
    <w:div w:id="1580290220">
      <w:bodyDiv w:val="1"/>
      <w:marLeft w:val="0"/>
      <w:marRight w:val="0"/>
      <w:marTop w:val="0"/>
      <w:marBottom w:val="0"/>
      <w:divBdr>
        <w:top w:val="none" w:sz="0" w:space="0" w:color="auto"/>
        <w:left w:val="none" w:sz="0" w:space="0" w:color="auto"/>
        <w:bottom w:val="none" w:sz="0" w:space="0" w:color="auto"/>
        <w:right w:val="none" w:sz="0" w:space="0" w:color="auto"/>
      </w:divBdr>
    </w:div>
    <w:div w:id="1632248537">
      <w:bodyDiv w:val="1"/>
      <w:marLeft w:val="0"/>
      <w:marRight w:val="0"/>
      <w:marTop w:val="0"/>
      <w:marBottom w:val="0"/>
      <w:divBdr>
        <w:top w:val="none" w:sz="0" w:space="0" w:color="auto"/>
        <w:left w:val="none" w:sz="0" w:space="0" w:color="auto"/>
        <w:bottom w:val="none" w:sz="0" w:space="0" w:color="auto"/>
        <w:right w:val="none" w:sz="0" w:space="0" w:color="auto"/>
      </w:divBdr>
    </w:div>
    <w:div w:id="1645504694">
      <w:bodyDiv w:val="1"/>
      <w:marLeft w:val="0"/>
      <w:marRight w:val="0"/>
      <w:marTop w:val="0"/>
      <w:marBottom w:val="0"/>
      <w:divBdr>
        <w:top w:val="none" w:sz="0" w:space="0" w:color="auto"/>
        <w:left w:val="none" w:sz="0" w:space="0" w:color="auto"/>
        <w:bottom w:val="none" w:sz="0" w:space="0" w:color="auto"/>
        <w:right w:val="none" w:sz="0" w:space="0" w:color="auto"/>
      </w:divBdr>
    </w:div>
    <w:div w:id="1646085758">
      <w:bodyDiv w:val="1"/>
      <w:marLeft w:val="0"/>
      <w:marRight w:val="0"/>
      <w:marTop w:val="0"/>
      <w:marBottom w:val="0"/>
      <w:divBdr>
        <w:top w:val="none" w:sz="0" w:space="0" w:color="auto"/>
        <w:left w:val="none" w:sz="0" w:space="0" w:color="auto"/>
        <w:bottom w:val="none" w:sz="0" w:space="0" w:color="auto"/>
        <w:right w:val="none" w:sz="0" w:space="0" w:color="auto"/>
      </w:divBdr>
    </w:div>
    <w:div w:id="1668098543">
      <w:bodyDiv w:val="1"/>
      <w:marLeft w:val="0"/>
      <w:marRight w:val="0"/>
      <w:marTop w:val="0"/>
      <w:marBottom w:val="0"/>
      <w:divBdr>
        <w:top w:val="none" w:sz="0" w:space="0" w:color="auto"/>
        <w:left w:val="none" w:sz="0" w:space="0" w:color="auto"/>
        <w:bottom w:val="none" w:sz="0" w:space="0" w:color="auto"/>
        <w:right w:val="none" w:sz="0" w:space="0" w:color="auto"/>
      </w:divBdr>
    </w:div>
    <w:div w:id="1683193739">
      <w:bodyDiv w:val="1"/>
      <w:marLeft w:val="0"/>
      <w:marRight w:val="0"/>
      <w:marTop w:val="0"/>
      <w:marBottom w:val="0"/>
      <w:divBdr>
        <w:top w:val="none" w:sz="0" w:space="0" w:color="auto"/>
        <w:left w:val="none" w:sz="0" w:space="0" w:color="auto"/>
        <w:bottom w:val="none" w:sz="0" w:space="0" w:color="auto"/>
        <w:right w:val="none" w:sz="0" w:space="0" w:color="auto"/>
      </w:divBdr>
    </w:div>
    <w:div w:id="1730763362">
      <w:bodyDiv w:val="1"/>
      <w:marLeft w:val="0"/>
      <w:marRight w:val="0"/>
      <w:marTop w:val="0"/>
      <w:marBottom w:val="0"/>
      <w:divBdr>
        <w:top w:val="none" w:sz="0" w:space="0" w:color="auto"/>
        <w:left w:val="none" w:sz="0" w:space="0" w:color="auto"/>
        <w:bottom w:val="none" w:sz="0" w:space="0" w:color="auto"/>
        <w:right w:val="none" w:sz="0" w:space="0" w:color="auto"/>
      </w:divBdr>
    </w:div>
    <w:div w:id="1740320375">
      <w:bodyDiv w:val="1"/>
      <w:marLeft w:val="0"/>
      <w:marRight w:val="0"/>
      <w:marTop w:val="0"/>
      <w:marBottom w:val="0"/>
      <w:divBdr>
        <w:top w:val="none" w:sz="0" w:space="0" w:color="auto"/>
        <w:left w:val="none" w:sz="0" w:space="0" w:color="auto"/>
        <w:bottom w:val="none" w:sz="0" w:space="0" w:color="auto"/>
        <w:right w:val="none" w:sz="0" w:space="0" w:color="auto"/>
      </w:divBdr>
    </w:div>
    <w:div w:id="1753308009">
      <w:bodyDiv w:val="1"/>
      <w:marLeft w:val="0"/>
      <w:marRight w:val="0"/>
      <w:marTop w:val="0"/>
      <w:marBottom w:val="0"/>
      <w:divBdr>
        <w:top w:val="none" w:sz="0" w:space="0" w:color="auto"/>
        <w:left w:val="none" w:sz="0" w:space="0" w:color="auto"/>
        <w:bottom w:val="none" w:sz="0" w:space="0" w:color="auto"/>
        <w:right w:val="none" w:sz="0" w:space="0" w:color="auto"/>
      </w:divBdr>
    </w:div>
    <w:div w:id="1805342481">
      <w:bodyDiv w:val="1"/>
      <w:marLeft w:val="0"/>
      <w:marRight w:val="0"/>
      <w:marTop w:val="0"/>
      <w:marBottom w:val="0"/>
      <w:divBdr>
        <w:top w:val="none" w:sz="0" w:space="0" w:color="auto"/>
        <w:left w:val="none" w:sz="0" w:space="0" w:color="auto"/>
        <w:bottom w:val="none" w:sz="0" w:space="0" w:color="auto"/>
        <w:right w:val="none" w:sz="0" w:space="0" w:color="auto"/>
      </w:divBdr>
    </w:div>
    <w:div w:id="1836991820">
      <w:bodyDiv w:val="1"/>
      <w:marLeft w:val="0"/>
      <w:marRight w:val="0"/>
      <w:marTop w:val="0"/>
      <w:marBottom w:val="0"/>
      <w:divBdr>
        <w:top w:val="none" w:sz="0" w:space="0" w:color="auto"/>
        <w:left w:val="none" w:sz="0" w:space="0" w:color="auto"/>
        <w:bottom w:val="none" w:sz="0" w:space="0" w:color="auto"/>
        <w:right w:val="none" w:sz="0" w:space="0" w:color="auto"/>
      </w:divBdr>
    </w:div>
    <w:div w:id="1884639035">
      <w:bodyDiv w:val="1"/>
      <w:marLeft w:val="0"/>
      <w:marRight w:val="0"/>
      <w:marTop w:val="0"/>
      <w:marBottom w:val="0"/>
      <w:divBdr>
        <w:top w:val="none" w:sz="0" w:space="0" w:color="auto"/>
        <w:left w:val="none" w:sz="0" w:space="0" w:color="auto"/>
        <w:bottom w:val="none" w:sz="0" w:space="0" w:color="auto"/>
        <w:right w:val="none" w:sz="0" w:space="0" w:color="auto"/>
      </w:divBdr>
    </w:div>
    <w:div w:id="1887643235">
      <w:bodyDiv w:val="1"/>
      <w:marLeft w:val="0"/>
      <w:marRight w:val="0"/>
      <w:marTop w:val="0"/>
      <w:marBottom w:val="0"/>
      <w:divBdr>
        <w:top w:val="none" w:sz="0" w:space="0" w:color="auto"/>
        <w:left w:val="none" w:sz="0" w:space="0" w:color="auto"/>
        <w:bottom w:val="none" w:sz="0" w:space="0" w:color="auto"/>
        <w:right w:val="none" w:sz="0" w:space="0" w:color="auto"/>
      </w:divBdr>
    </w:div>
    <w:div w:id="1928348421">
      <w:bodyDiv w:val="1"/>
      <w:marLeft w:val="0"/>
      <w:marRight w:val="0"/>
      <w:marTop w:val="0"/>
      <w:marBottom w:val="0"/>
      <w:divBdr>
        <w:top w:val="none" w:sz="0" w:space="0" w:color="auto"/>
        <w:left w:val="none" w:sz="0" w:space="0" w:color="auto"/>
        <w:bottom w:val="none" w:sz="0" w:space="0" w:color="auto"/>
        <w:right w:val="none" w:sz="0" w:space="0" w:color="auto"/>
      </w:divBdr>
    </w:div>
    <w:div w:id="1931813265">
      <w:bodyDiv w:val="1"/>
      <w:marLeft w:val="0"/>
      <w:marRight w:val="0"/>
      <w:marTop w:val="0"/>
      <w:marBottom w:val="0"/>
      <w:divBdr>
        <w:top w:val="none" w:sz="0" w:space="0" w:color="auto"/>
        <w:left w:val="none" w:sz="0" w:space="0" w:color="auto"/>
        <w:bottom w:val="none" w:sz="0" w:space="0" w:color="auto"/>
        <w:right w:val="none" w:sz="0" w:space="0" w:color="auto"/>
      </w:divBdr>
    </w:div>
    <w:div w:id="1968269511">
      <w:bodyDiv w:val="1"/>
      <w:marLeft w:val="0"/>
      <w:marRight w:val="0"/>
      <w:marTop w:val="0"/>
      <w:marBottom w:val="0"/>
      <w:divBdr>
        <w:top w:val="none" w:sz="0" w:space="0" w:color="auto"/>
        <w:left w:val="none" w:sz="0" w:space="0" w:color="auto"/>
        <w:bottom w:val="none" w:sz="0" w:space="0" w:color="auto"/>
        <w:right w:val="none" w:sz="0" w:space="0" w:color="auto"/>
      </w:divBdr>
    </w:div>
    <w:div w:id="1996835264">
      <w:bodyDiv w:val="1"/>
      <w:marLeft w:val="0"/>
      <w:marRight w:val="0"/>
      <w:marTop w:val="0"/>
      <w:marBottom w:val="0"/>
      <w:divBdr>
        <w:top w:val="none" w:sz="0" w:space="0" w:color="auto"/>
        <w:left w:val="none" w:sz="0" w:space="0" w:color="auto"/>
        <w:bottom w:val="none" w:sz="0" w:space="0" w:color="auto"/>
        <w:right w:val="none" w:sz="0" w:space="0" w:color="auto"/>
      </w:divBdr>
    </w:div>
    <w:div w:id="2048720905">
      <w:bodyDiv w:val="1"/>
      <w:marLeft w:val="0"/>
      <w:marRight w:val="0"/>
      <w:marTop w:val="0"/>
      <w:marBottom w:val="0"/>
      <w:divBdr>
        <w:top w:val="none" w:sz="0" w:space="0" w:color="auto"/>
        <w:left w:val="none" w:sz="0" w:space="0" w:color="auto"/>
        <w:bottom w:val="none" w:sz="0" w:space="0" w:color="auto"/>
        <w:right w:val="none" w:sz="0" w:space="0" w:color="auto"/>
      </w:divBdr>
    </w:div>
    <w:div w:id="211277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杨雯玥</dc:creator>
  <cp:lastModifiedBy>投资理财团队</cp:lastModifiedBy>
  <cp:revision>2</cp:revision>
  <cp:lastPrinted>2019-09-03T02:43:00Z</cp:lastPrinted>
  <dcterms:created xsi:type="dcterms:W3CDTF">2020-04-07T03:49:00Z</dcterms:created>
  <dcterms:modified xsi:type="dcterms:W3CDTF">2020-04-07T03:49:00Z</dcterms:modified>
</cp:coreProperties>
</file>