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 w:rsidR="00AD4BD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年</w:t>
      </w:r>
      <w:r w:rsidR="00F97C1B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5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 w:rsidR="00AD4BD0">
        <w:rPr>
          <w:rFonts w:cs="宋体"/>
          <w:lang w:eastAsia="zh-CN"/>
        </w:rPr>
        <w:t>20</w:t>
      </w:r>
      <w:r w:rsidR="00AD4BD0">
        <w:rPr>
          <w:rFonts w:cs="宋体" w:hint="eastAsia"/>
          <w:lang w:eastAsia="zh-CN"/>
        </w:rPr>
        <w:t>20</w:t>
      </w:r>
      <w:r>
        <w:rPr>
          <w:lang w:eastAsia="zh-CN"/>
        </w:rPr>
        <w:t>年</w:t>
      </w:r>
      <w:r w:rsidR="00F97C1B">
        <w:rPr>
          <w:rFonts w:cs="宋体" w:hint="eastAsia"/>
          <w:lang w:eastAsia="zh-CN"/>
        </w:rPr>
        <w:t>5</w:t>
      </w:r>
      <w:r>
        <w:rPr>
          <w:lang w:eastAsia="zh-CN"/>
        </w:rPr>
        <w:t>月</w:t>
      </w:r>
      <w:r w:rsidR="00F97C1B">
        <w:rPr>
          <w:rFonts w:cs="宋体" w:hint="eastAsia"/>
          <w:lang w:eastAsia="zh-CN"/>
        </w:rPr>
        <w:t>31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F97C1B" w:rsidRPr="00F97C1B">
        <w:rPr>
          <w:sz w:val="21"/>
          <w:szCs w:val="21"/>
          <w:lang w:eastAsia="zh-CN"/>
        </w:rPr>
        <w:t>309824154.53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F97C1B">
        <w:rPr>
          <w:rFonts w:hint="eastAsia"/>
          <w:sz w:val="21"/>
          <w:szCs w:val="21"/>
          <w:lang w:eastAsia="zh-CN"/>
        </w:rPr>
        <w:t>5</w:t>
      </w:r>
      <w:r w:rsidRPr="00AD2A39">
        <w:rPr>
          <w:sz w:val="21"/>
          <w:szCs w:val="21"/>
          <w:lang w:eastAsia="zh-CN"/>
        </w:rPr>
        <w:t>月</w:t>
      </w:r>
      <w:r w:rsidR="00B474F6">
        <w:rPr>
          <w:rFonts w:hint="eastAsia"/>
          <w:sz w:val="21"/>
          <w:szCs w:val="21"/>
          <w:lang w:eastAsia="zh-CN"/>
        </w:rPr>
        <w:t>3</w:t>
      </w:r>
      <w:r w:rsidR="00F97C1B">
        <w:rPr>
          <w:rFonts w:hint="eastAsia"/>
          <w:sz w:val="21"/>
          <w:szCs w:val="21"/>
          <w:lang w:eastAsia="zh-CN"/>
        </w:rPr>
        <w:t>1</w:t>
      </w:r>
      <w:r w:rsidRPr="00AD2A39">
        <w:rPr>
          <w:sz w:val="21"/>
          <w:szCs w:val="21"/>
          <w:lang w:eastAsia="zh-CN"/>
        </w:rPr>
        <w:t>日，产品单位净值为</w:t>
      </w:r>
      <w:r w:rsidR="00F97C1B" w:rsidRPr="00F97C1B">
        <w:rPr>
          <w:sz w:val="21"/>
          <w:szCs w:val="21"/>
          <w:lang w:eastAsia="zh-CN"/>
        </w:rPr>
        <w:t>1.034817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F97C1B">
        <w:rPr>
          <w:rFonts w:hint="eastAsia"/>
          <w:sz w:val="21"/>
          <w:szCs w:val="21"/>
          <w:lang w:eastAsia="zh-CN"/>
        </w:rPr>
        <w:t>5</w:t>
      </w:r>
      <w:r w:rsidRPr="00AD2A39">
        <w:rPr>
          <w:sz w:val="21"/>
          <w:szCs w:val="21"/>
          <w:lang w:eastAsia="zh-CN"/>
        </w:rPr>
        <w:t>月</w:t>
      </w:r>
      <w:r w:rsidR="00F97C1B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日，本产品的</w:t>
      </w:r>
      <w:r w:rsidR="00F61681">
        <w:rPr>
          <w:rFonts w:hint="eastAsia"/>
          <w:sz w:val="21"/>
          <w:szCs w:val="21"/>
          <w:lang w:eastAsia="zh-CN"/>
        </w:rPr>
        <w:t>募集</w:t>
      </w:r>
      <w:r w:rsidRPr="00AD2A39">
        <w:rPr>
          <w:sz w:val="21"/>
          <w:szCs w:val="21"/>
          <w:lang w:eastAsia="zh-CN"/>
        </w:rPr>
        <w:t>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F97C1B">
        <w:rPr>
          <w:rFonts w:hint="eastAsia"/>
          <w:sz w:val="21"/>
          <w:szCs w:val="21"/>
          <w:lang w:eastAsia="zh-CN"/>
        </w:rPr>
        <w:t>6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F97C1B">
        <w:rPr>
          <w:rFonts w:hint="eastAsia"/>
          <w:sz w:val="21"/>
          <w:szCs w:val="21"/>
          <w:lang w:eastAsia="zh-CN"/>
        </w:rPr>
        <w:t>2</w:t>
      </w:r>
      <w:bookmarkStart w:id="0" w:name="_GoBack"/>
      <w:bookmarkEnd w:id="0"/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B1" w:rsidRDefault="000B74B1" w:rsidP="00FD3C6F">
      <w:r>
        <w:separator/>
      </w:r>
    </w:p>
  </w:endnote>
  <w:endnote w:type="continuationSeparator" w:id="0">
    <w:p w:rsidR="000B74B1" w:rsidRDefault="000B74B1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B1" w:rsidRDefault="000B74B1" w:rsidP="00FD3C6F">
      <w:r>
        <w:separator/>
      </w:r>
    </w:p>
  </w:footnote>
  <w:footnote w:type="continuationSeparator" w:id="0">
    <w:p w:rsidR="000B74B1" w:rsidRDefault="000B74B1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B74B1"/>
    <w:rsid w:val="000C6B42"/>
    <w:rsid w:val="00105E34"/>
    <w:rsid w:val="00120EF0"/>
    <w:rsid w:val="0015535C"/>
    <w:rsid w:val="00156C85"/>
    <w:rsid w:val="00173CC3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2E5C71"/>
    <w:rsid w:val="00310D17"/>
    <w:rsid w:val="003179B3"/>
    <w:rsid w:val="00367D40"/>
    <w:rsid w:val="0037213B"/>
    <w:rsid w:val="00377BAB"/>
    <w:rsid w:val="003A177A"/>
    <w:rsid w:val="00404BC6"/>
    <w:rsid w:val="00420C9D"/>
    <w:rsid w:val="00436283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47CE8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4BD0"/>
    <w:rsid w:val="00AD54E8"/>
    <w:rsid w:val="00B474F6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61681"/>
    <w:rsid w:val="00F97C1B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投资银行业务部</cp:lastModifiedBy>
  <cp:revision>2</cp:revision>
  <dcterms:created xsi:type="dcterms:W3CDTF">2020-06-01T09:38:00Z</dcterms:created>
  <dcterms:modified xsi:type="dcterms:W3CDTF">2020-06-01T09:38:00Z</dcterms:modified>
</cp:coreProperties>
</file>