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0403" w:rsidRDefault="007C7E4B">
      <w:pPr>
        <w:spacing w:line="560" w:lineRule="exact"/>
        <w:ind w:firstLineChars="221" w:firstLine="887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智慧赋能，财富惠众</w:t>
      </w:r>
    </w:p>
    <w:p w:rsidR="00F90403" w:rsidRDefault="007C7E4B">
      <w:pPr>
        <w:spacing w:line="560" w:lineRule="exact"/>
        <w:ind w:firstLineChars="221" w:firstLine="799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——“建行龙财富”个人财富管理平台</w:t>
      </w:r>
      <w:r w:rsidR="00CA4FFC">
        <w:rPr>
          <w:rFonts w:ascii="宋体" w:hAnsi="宋体" w:hint="eastAsia"/>
          <w:b/>
          <w:sz w:val="36"/>
          <w:szCs w:val="36"/>
        </w:rPr>
        <w:t>全新亮相</w:t>
      </w:r>
    </w:p>
    <w:p w:rsidR="00F90403" w:rsidRDefault="00F9040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90403" w:rsidRPr="00F86CE6" w:rsidRDefault="00CA4FFC" w:rsidP="00CA4FFC">
      <w:pPr>
        <w:spacing w:line="560" w:lineRule="exact"/>
        <w:ind w:firstLineChars="221" w:firstLine="707"/>
        <w:rPr>
          <w:rFonts w:ascii="彩虹粗仿宋" w:eastAsia="彩虹粗仿宋" w:hAnsi="仿宋" w:hint="eastAsia"/>
          <w:sz w:val="32"/>
          <w:szCs w:val="32"/>
        </w:rPr>
      </w:pPr>
      <w:bookmarkStart w:id="0" w:name="_GoBack"/>
      <w:r w:rsidRPr="00F86CE6">
        <w:rPr>
          <w:rFonts w:ascii="彩虹粗仿宋" w:eastAsia="彩虹粗仿宋" w:hAnsi="仿宋" w:hint="eastAsia"/>
          <w:sz w:val="32"/>
          <w:szCs w:val="32"/>
        </w:rPr>
        <w:t>改革开放40年，人民财富日益增长。如何管理财富、用好财富也成为我们寻常百姓不得不面对的问题。建设银行以“服务大众安居乐业，建设现代美好生活”为己任，努力解决社会痛点难点带来的挑战，</w:t>
      </w:r>
      <w:r w:rsidR="007C7E4B" w:rsidRPr="00F86CE6">
        <w:rPr>
          <w:rFonts w:ascii="彩虹粗仿宋" w:eastAsia="彩虹粗仿宋" w:hAnsi="仿宋" w:hint="eastAsia"/>
          <w:sz w:val="32"/>
          <w:szCs w:val="32"/>
        </w:rPr>
        <w:t>12月28日，中国建设银行在上海宣布，建设银行为个人客户</w:t>
      </w:r>
      <w:r w:rsidRPr="00F86CE6">
        <w:rPr>
          <w:rFonts w:ascii="彩虹粗仿宋" w:eastAsia="彩虹粗仿宋" w:hAnsi="仿宋" w:hint="eastAsia"/>
          <w:sz w:val="32"/>
          <w:szCs w:val="32"/>
        </w:rPr>
        <w:t>全新</w:t>
      </w:r>
      <w:r w:rsidR="007C7E4B" w:rsidRPr="00F86CE6">
        <w:rPr>
          <w:rFonts w:ascii="彩虹粗仿宋" w:eastAsia="彩虹粗仿宋" w:hAnsi="仿宋" w:hint="eastAsia"/>
          <w:sz w:val="32"/>
          <w:szCs w:val="32"/>
        </w:rPr>
        <w:t>打造的财富管理与服务平台“建行龙财富”正式</w:t>
      </w:r>
      <w:r w:rsidRPr="00F86CE6">
        <w:rPr>
          <w:rFonts w:ascii="彩虹粗仿宋" w:eastAsia="彩虹粗仿宋" w:hAnsi="仿宋" w:hint="eastAsia"/>
          <w:sz w:val="32"/>
          <w:szCs w:val="32"/>
        </w:rPr>
        <w:t>发布</w:t>
      </w:r>
      <w:r w:rsidR="007C7E4B" w:rsidRPr="00F86CE6">
        <w:rPr>
          <w:rFonts w:ascii="彩虹粗仿宋" w:eastAsia="彩虹粗仿宋" w:hAnsi="仿宋" w:hint="eastAsia"/>
          <w:sz w:val="32"/>
          <w:szCs w:val="32"/>
        </w:rPr>
        <w:t>。</w:t>
      </w:r>
      <w:r w:rsidRPr="00F86CE6">
        <w:rPr>
          <w:rFonts w:ascii="彩虹粗仿宋" w:eastAsia="彩虹粗仿宋" w:hAnsi="仿宋" w:hint="eastAsia"/>
          <w:sz w:val="32"/>
          <w:szCs w:val="32"/>
        </w:rPr>
        <w:t>“建行龙财富”的推出，让大众理财的梦想真正照进了现实，让高品质专业化金融服务已不再只是少数人的专享。</w:t>
      </w:r>
    </w:p>
    <w:p w:rsidR="00CA4FFC" w:rsidRPr="00F86CE6" w:rsidRDefault="00CA4FFC" w:rsidP="00CA4FFC">
      <w:pPr>
        <w:spacing w:line="560" w:lineRule="exact"/>
        <w:ind w:firstLineChars="221" w:firstLine="707"/>
        <w:rPr>
          <w:rFonts w:ascii="彩虹粗仿宋" w:eastAsia="彩虹粗仿宋" w:hAnsi="仿宋" w:hint="eastAsia"/>
          <w:sz w:val="32"/>
          <w:szCs w:val="32"/>
        </w:rPr>
      </w:pPr>
      <w:r w:rsidRPr="00F86CE6">
        <w:rPr>
          <w:rFonts w:ascii="彩虹粗仿宋" w:eastAsia="彩虹粗仿宋" w:hAnsi="仿宋" w:hint="eastAsia"/>
          <w:sz w:val="32"/>
          <w:szCs w:val="32"/>
        </w:rPr>
        <w:t>“建行龙财富”着眼于客户全生命周期，围绕消费、投资、保障三大场景，构建财富管理的生态系统，</w:t>
      </w:r>
      <w:r w:rsidRPr="00F86CE6">
        <w:rPr>
          <w:rFonts w:ascii="彩虹粗仿宋" w:eastAsia="彩虹粗仿宋" w:hAnsi="仿宋" w:hint="eastAsia"/>
          <w:bCs/>
          <w:sz w:val="32"/>
          <w:szCs w:val="32"/>
        </w:rPr>
        <w:t>实现当前有钱花，未来有保障，闲钱能保值增值。</w:t>
      </w:r>
    </w:p>
    <w:p w:rsidR="00F90403" w:rsidRPr="00F86CE6" w:rsidRDefault="00F90403" w:rsidP="00FA018F">
      <w:pPr>
        <w:pStyle w:val="1"/>
        <w:spacing w:line="560" w:lineRule="exact"/>
        <w:ind w:firstLineChars="0" w:firstLine="0"/>
        <w:rPr>
          <w:rFonts w:ascii="彩虹粗仿宋" w:eastAsia="彩虹粗仿宋" w:hAnsi="仿宋" w:hint="eastAsia"/>
          <w:sz w:val="32"/>
          <w:szCs w:val="32"/>
        </w:rPr>
      </w:pPr>
    </w:p>
    <w:p w:rsidR="00F90403" w:rsidRPr="00F86CE6" w:rsidRDefault="00CA4FFC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彩虹粗仿宋" w:eastAsia="彩虹粗仿宋" w:hAnsi="仿宋" w:hint="eastAsia"/>
          <w:b/>
          <w:sz w:val="32"/>
          <w:szCs w:val="32"/>
        </w:rPr>
      </w:pPr>
      <w:r w:rsidRPr="00F86CE6">
        <w:rPr>
          <w:rFonts w:ascii="彩虹粗仿宋" w:eastAsia="彩虹粗仿宋" w:hAnsi="仿宋" w:hint="eastAsia"/>
          <w:b/>
          <w:sz w:val="32"/>
          <w:szCs w:val="32"/>
        </w:rPr>
        <w:t>以</w:t>
      </w:r>
      <w:r w:rsidR="007C7E4B" w:rsidRPr="00F86CE6">
        <w:rPr>
          <w:rFonts w:ascii="彩虹粗仿宋" w:eastAsia="彩虹粗仿宋" w:hAnsi="仿宋" w:hint="eastAsia"/>
          <w:b/>
          <w:sz w:val="32"/>
          <w:szCs w:val="32"/>
        </w:rPr>
        <w:t>“财富管理+生态系统”智慧赋能</w:t>
      </w:r>
      <w:r w:rsidRPr="00F86CE6">
        <w:rPr>
          <w:rFonts w:ascii="彩虹粗仿宋" w:eastAsia="彩虹粗仿宋" w:hAnsi="仿宋" w:hint="eastAsia"/>
          <w:b/>
          <w:sz w:val="32"/>
          <w:szCs w:val="32"/>
        </w:rPr>
        <w:t>的全新模式</w:t>
      </w:r>
      <w:r w:rsidR="007C7E4B" w:rsidRPr="00F86CE6">
        <w:rPr>
          <w:rFonts w:ascii="彩虹粗仿宋" w:eastAsia="彩虹粗仿宋" w:hAnsi="仿宋" w:hint="eastAsia"/>
          <w:b/>
          <w:sz w:val="32"/>
          <w:szCs w:val="32"/>
        </w:rPr>
        <w:t>，</w:t>
      </w:r>
      <w:r w:rsidRPr="00F86CE6">
        <w:rPr>
          <w:rFonts w:ascii="彩虹粗仿宋" w:eastAsia="彩虹粗仿宋" w:hAnsi="仿宋" w:hint="eastAsia"/>
          <w:b/>
          <w:sz w:val="32"/>
          <w:szCs w:val="32"/>
        </w:rPr>
        <w:t>大大</w:t>
      </w:r>
      <w:r w:rsidR="007C7E4B" w:rsidRPr="00F86CE6">
        <w:rPr>
          <w:rFonts w:ascii="彩虹粗仿宋" w:eastAsia="彩虹粗仿宋" w:hAnsi="仿宋" w:hint="eastAsia"/>
          <w:b/>
          <w:sz w:val="32"/>
          <w:szCs w:val="32"/>
        </w:rPr>
        <w:t>提升</w:t>
      </w:r>
      <w:r w:rsidRPr="00F86CE6">
        <w:rPr>
          <w:rFonts w:ascii="彩虹粗仿宋" w:eastAsia="彩虹粗仿宋" w:hAnsi="仿宋" w:hint="eastAsia"/>
          <w:b/>
          <w:sz w:val="32"/>
          <w:szCs w:val="32"/>
        </w:rPr>
        <w:t>了</w:t>
      </w:r>
      <w:r w:rsidR="007C7E4B" w:rsidRPr="00F86CE6">
        <w:rPr>
          <w:rFonts w:ascii="彩虹粗仿宋" w:eastAsia="彩虹粗仿宋" w:hAnsi="仿宋" w:hint="eastAsia"/>
          <w:b/>
          <w:sz w:val="32"/>
          <w:szCs w:val="32"/>
        </w:rPr>
        <w:t>客户体验</w:t>
      </w:r>
    </w:p>
    <w:p w:rsidR="00F90403" w:rsidRPr="00F86CE6" w:rsidRDefault="007C7E4B">
      <w:pPr>
        <w:spacing w:line="360" w:lineRule="auto"/>
        <w:ind w:firstLineChars="200" w:firstLine="640"/>
        <w:jc w:val="left"/>
        <w:rPr>
          <w:rFonts w:ascii="彩虹粗仿宋" w:eastAsia="彩虹粗仿宋" w:hAnsi="仿宋" w:hint="eastAsia"/>
          <w:bCs/>
          <w:sz w:val="32"/>
          <w:szCs w:val="32"/>
        </w:rPr>
      </w:pPr>
      <w:r w:rsidRPr="00F86CE6">
        <w:rPr>
          <w:rFonts w:ascii="彩虹粗仿宋" w:eastAsia="彩虹粗仿宋" w:hAnsi="仿宋" w:hint="eastAsia"/>
          <w:sz w:val="32"/>
          <w:szCs w:val="32"/>
        </w:rPr>
        <w:t>为每个客户构建了一套专属、完整、动态的财富全景图，帮助客户了解自己财富的全貌。让客户对自己的总资产、总负债、所持有的各类产品一目了然，对每天收支变动、投资收益能随时掌握。</w:t>
      </w:r>
    </w:p>
    <w:p w:rsidR="00F90403" w:rsidRPr="00F86CE6" w:rsidRDefault="007C7E4B">
      <w:pPr>
        <w:spacing w:line="360" w:lineRule="auto"/>
        <w:ind w:firstLineChars="200" w:firstLine="643"/>
        <w:jc w:val="left"/>
        <w:rPr>
          <w:rFonts w:ascii="彩虹粗仿宋" w:eastAsia="彩虹粗仿宋" w:hAnsi="仿宋" w:hint="eastAsia"/>
          <w:b/>
          <w:sz w:val="32"/>
          <w:szCs w:val="32"/>
        </w:rPr>
      </w:pPr>
      <w:r w:rsidRPr="00F86CE6">
        <w:rPr>
          <w:rFonts w:ascii="彩虹粗仿宋" w:eastAsia="彩虹粗仿宋" w:hAnsi="仿宋" w:hint="eastAsia"/>
          <w:b/>
          <w:sz w:val="32"/>
          <w:szCs w:val="32"/>
        </w:rPr>
        <w:t>消费场景，平衡“收”与“支”</w:t>
      </w:r>
    </w:p>
    <w:p w:rsidR="00F90403" w:rsidRPr="00F86CE6" w:rsidRDefault="007C7E4B">
      <w:pPr>
        <w:spacing w:line="360" w:lineRule="auto"/>
        <w:ind w:firstLineChars="200" w:firstLine="640"/>
        <w:jc w:val="left"/>
        <w:rPr>
          <w:rFonts w:ascii="彩虹粗仿宋" w:eastAsia="彩虹粗仿宋" w:hAnsi="仿宋" w:hint="eastAsia"/>
          <w:bCs/>
          <w:sz w:val="32"/>
          <w:szCs w:val="32"/>
        </w:rPr>
      </w:pPr>
      <w:r w:rsidRPr="00F86CE6">
        <w:rPr>
          <w:rFonts w:ascii="彩虹粗仿宋" w:eastAsia="彩虹粗仿宋" w:hAnsi="仿宋" w:hint="eastAsia"/>
          <w:kern w:val="0"/>
          <w:sz w:val="32"/>
          <w:szCs w:val="32"/>
        </w:rPr>
        <w:t>通过收支大数据、合约管理等工具，构建客户“收支日历”，在满足日常开支基础上，帮客户做好资金整体安排。</w:t>
      </w:r>
      <w:r w:rsidRPr="00F86CE6">
        <w:rPr>
          <w:rFonts w:ascii="彩虹粗仿宋" w:eastAsia="彩虹粗仿宋" w:hAnsi="仿宋" w:hint="eastAsia"/>
          <w:sz w:val="32"/>
          <w:szCs w:val="32"/>
        </w:rPr>
        <w:lastRenderedPageBreak/>
        <w:t>当客户遇到临时性资金缺口的时候，提供灵活的资金融通方式，借助消费信贷或产品转让平台，解决消费场景的燃眉之急。</w:t>
      </w:r>
    </w:p>
    <w:p w:rsidR="00F90403" w:rsidRPr="00F86CE6" w:rsidRDefault="007C7E4B">
      <w:pPr>
        <w:spacing w:line="360" w:lineRule="auto"/>
        <w:ind w:firstLineChars="200" w:firstLine="643"/>
        <w:jc w:val="left"/>
        <w:rPr>
          <w:rFonts w:ascii="彩虹粗仿宋" w:eastAsia="彩虹粗仿宋" w:hAnsi="仿宋" w:hint="eastAsia"/>
          <w:b/>
          <w:sz w:val="32"/>
          <w:szCs w:val="32"/>
        </w:rPr>
      </w:pPr>
      <w:r w:rsidRPr="00F86CE6">
        <w:rPr>
          <w:rFonts w:ascii="彩虹粗仿宋" w:eastAsia="彩虹粗仿宋" w:hAnsi="仿宋" w:hint="eastAsia"/>
          <w:b/>
          <w:sz w:val="32"/>
          <w:szCs w:val="32"/>
        </w:rPr>
        <w:t>投资场景，平衡 “风险”与“收益”</w:t>
      </w:r>
    </w:p>
    <w:p w:rsidR="00F90403" w:rsidRPr="00F86CE6" w:rsidRDefault="007C7E4B">
      <w:pPr>
        <w:spacing w:line="360" w:lineRule="auto"/>
        <w:ind w:firstLineChars="200" w:firstLine="640"/>
        <w:jc w:val="left"/>
        <w:rPr>
          <w:rFonts w:ascii="彩虹粗仿宋" w:eastAsia="彩虹粗仿宋" w:hAnsi="仿宋" w:hint="eastAsia"/>
          <w:sz w:val="32"/>
          <w:szCs w:val="32"/>
        </w:rPr>
      </w:pPr>
      <w:r w:rsidRPr="00F86CE6">
        <w:rPr>
          <w:rFonts w:ascii="彩虹粗仿宋" w:eastAsia="彩虹粗仿宋" w:hAnsi="仿宋" w:hint="eastAsia"/>
          <w:sz w:val="32"/>
          <w:szCs w:val="32"/>
        </w:rPr>
        <w:t>提供适合的个性化资产配置，实现财富的保值增值。依托建设银行企业级客户信息平台，精准捕捉客户特征，建立360度客户视图。通过AI智能辅助专家决策，从大类资产入手，评估和建议持仓配置，支持客户一站式优化；另一方面，推出“龙智投”最佳产品组合体系，支持客户一键下单，满足不同风险偏好需求。</w:t>
      </w:r>
    </w:p>
    <w:p w:rsidR="00F90403" w:rsidRPr="00F86CE6" w:rsidRDefault="007C7E4B">
      <w:pPr>
        <w:spacing w:line="360" w:lineRule="auto"/>
        <w:ind w:firstLineChars="200" w:firstLine="643"/>
        <w:jc w:val="left"/>
        <w:rPr>
          <w:rFonts w:ascii="彩虹粗仿宋" w:eastAsia="彩虹粗仿宋" w:hAnsi="仿宋" w:hint="eastAsia"/>
          <w:b/>
          <w:sz w:val="32"/>
          <w:szCs w:val="32"/>
        </w:rPr>
      </w:pPr>
      <w:r w:rsidRPr="00F86CE6">
        <w:rPr>
          <w:rFonts w:ascii="彩虹粗仿宋" w:eastAsia="彩虹粗仿宋" w:hAnsi="仿宋" w:hint="eastAsia"/>
          <w:b/>
          <w:sz w:val="32"/>
          <w:szCs w:val="32"/>
        </w:rPr>
        <w:t>保障场景，平衡“现在”与“未来”</w:t>
      </w:r>
    </w:p>
    <w:p w:rsidR="00F90403" w:rsidRPr="00F86CE6" w:rsidRDefault="007C7E4B">
      <w:pPr>
        <w:spacing w:line="360" w:lineRule="auto"/>
        <w:ind w:firstLineChars="200" w:firstLine="640"/>
        <w:jc w:val="left"/>
        <w:rPr>
          <w:rFonts w:ascii="彩虹粗仿宋" w:eastAsia="彩虹粗仿宋" w:hAnsi="仿宋" w:hint="eastAsia"/>
          <w:sz w:val="32"/>
          <w:szCs w:val="32"/>
        </w:rPr>
      </w:pPr>
      <w:r w:rsidRPr="00F86CE6">
        <w:rPr>
          <w:rFonts w:ascii="彩虹粗仿宋" w:eastAsia="彩虹粗仿宋" w:hAnsi="仿宋" w:hint="eastAsia"/>
          <w:sz w:val="32"/>
          <w:szCs w:val="32"/>
        </w:rPr>
        <w:t>帮助客户从健康、意外、教育、养老等四大人</w:t>
      </w:r>
      <w:proofErr w:type="gramStart"/>
      <w:r w:rsidRPr="00F86CE6">
        <w:rPr>
          <w:rFonts w:ascii="彩虹粗仿宋" w:eastAsia="彩虹粗仿宋" w:hAnsi="仿宋" w:hint="eastAsia"/>
          <w:sz w:val="32"/>
          <w:szCs w:val="32"/>
        </w:rPr>
        <w:t>生关键</w:t>
      </w:r>
      <w:proofErr w:type="gramEnd"/>
      <w:r w:rsidRPr="00F86CE6">
        <w:rPr>
          <w:rFonts w:ascii="彩虹粗仿宋" w:eastAsia="彩虹粗仿宋" w:hAnsi="仿宋" w:hint="eastAsia"/>
          <w:sz w:val="32"/>
          <w:szCs w:val="32"/>
        </w:rPr>
        <w:t>方面做好保障规划，为家庭构筑一道坚固的防线，规划未来、防范意外、抵御风险。让客户在遇到人生波折的时候，有更平稳的安排，能更从容的面对。</w:t>
      </w:r>
    </w:p>
    <w:p w:rsidR="00F90403" w:rsidRPr="00F86CE6" w:rsidRDefault="007C7E4B">
      <w:pPr>
        <w:spacing w:line="360" w:lineRule="auto"/>
        <w:ind w:firstLineChars="196" w:firstLine="630"/>
        <w:jc w:val="left"/>
        <w:rPr>
          <w:rFonts w:ascii="彩虹粗仿宋" w:eastAsia="彩虹粗仿宋" w:hAnsi="仿宋" w:hint="eastAsia"/>
          <w:b/>
          <w:sz w:val="32"/>
          <w:szCs w:val="32"/>
        </w:rPr>
      </w:pPr>
      <w:r w:rsidRPr="00F86CE6">
        <w:rPr>
          <w:rFonts w:ascii="彩虹粗仿宋" w:eastAsia="彩虹粗仿宋" w:hAnsi="仿宋" w:hint="eastAsia"/>
          <w:b/>
          <w:sz w:val="32"/>
          <w:szCs w:val="32"/>
        </w:rPr>
        <w:t>智能交互，随时随地温暖贴心</w:t>
      </w:r>
    </w:p>
    <w:p w:rsidR="00F90403" w:rsidRPr="00F86CE6" w:rsidRDefault="007C7E4B">
      <w:pPr>
        <w:spacing w:line="360" w:lineRule="auto"/>
        <w:ind w:firstLineChars="200" w:firstLine="640"/>
        <w:jc w:val="left"/>
        <w:rPr>
          <w:rFonts w:ascii="彩虹粗仿宋" w:eastAsia="彩虹粗仿宋" w:hAnsi="仿宋" w:hint="eastAsia"/>
          <w:sz w:val="32"/>
          <w:szCs w:val="32"/>
        </w:rPr>
      </w:pPr>
      <w:r w:rsidRPr="00F86CE6">
        <w:rPr>
          <w:rFonts w:ascii="彩虹粗仿宋" w:eastAsia="彩虹粗仿宋" w:hAnsi="仿宋" w:hint="eastAsia"/>
          <w:sz w:val="32"/>
          <w:szCs w:val="32"/>
        </w:rPr>
        <w:t>客户通过“龙财富”早报、个性化财富资讯、专</w:t>
      </w:r>
      <w:proofErr w:type="gramStart"/>
      <w:r w:rsidRPr="00F86CE6">
        <w:rPr>
          <w:rFonts w:ascii="彩虹粗仿宋" w:eastAsia="彩虹粗仿宋" w:hAnsi="仿宋" w:hint="eastAsia"/>
          <w:sz w:val="32"/>
          <w:szCs w:val="32"/>
        </w:rPr>
        <w:t>属投资</w:t>
      </w:r>
      <w:proofErr w:type="gramEnd"/>
      <w:r w:rsidRPr="00F86CE6">
        <w:rPr>
          <w:rFonts w:ascii="彩虹粗仿宋" w:eastAsia="彩虹粗仿宋" w:hAnsi="仿宋" w:hint="eastAsia"/>
          <w:sz w:val="32"/>
          <w:szCs w:val="32"/>
        </w:rPr>
        <w:t>业绩报告等方式，为自己的财富决策提供依据。通过使用语音播报功能一键收听。未来“龙财富”还将依托建行大学、合作机构，分享更多专业研究成果。提供全天候、有温度的服务。</w:t>
      </w:r>
    </w:p>
    <w:p w:rsidR="00F90403" w:rsidRPr="00F86CE6" w:rsidRDefault="007C7E4B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彩虹粗仿宋" w:eastAsia="彩虹粗仿宋" w:hAnsi="仿宋" w:hint="eastAsia"/>
          <w:sz w:val="32"/>
          <w:szCs w:val="32"/>
        </w:rPr>
      </w:pPr>
      <w:r w:rsidRPr="00F86CE6">
        <w:rPr>
          <w:rFonts w:ascii="彩虹粗仿宋" w:eastAsia="彩虹粗仿宋" w:hAnsi="仿宋" w:hint="eastAsia"/>
          <w:b/>
          <w:sz w:val="32"/>
          <w:szCs w:val="32"/>
        </w:rPr>
        <w:t>“产品体系+智能投顾”双能引擎，确保专业服务水平</w:t>
      </w:r>
    </w:p>
    <w:p w:rsidR="00CA4FFC" w:rsidRPr="00F86CE6" w:rsidRDefault="007C7E4B" w:rsidP="00CA4FFC">
      <w:pPr>
        <w:widowControl/>
        <w:ind w:firstLine="645"/>
        <w:jc w:val="left"/>
        <w:rPr>
          <w:rFonts w:ascii="彩虹粗仿宋" w:eastAsia="彩虹粗仿宋" w:hAnsi="仿宋" w:cs="仿宋" w:hint="eastAsia"/>
          <w:color w:val="000000"/>
          <w:kern w:val="0"/>
          <w:sz w:val="32"/>
          <w:szCs w:val="32"/>
          <w:lang w:bidi="ar"/>
        </w:rPr>
      </w:pPr>
      <w:r w:rsidRPr="00F86CE6">
        <w:rPr>
          <w:rFonts w:ascii="彩虹粗仿宋" w:eastAsia="彩虹粗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建行龙财富整合了建行集团和专业合作机构资源，构建了涵盖货币类、</w:t>
      </w:r>
      <w:proofErr w:type="gramStart"/>
      <w:r w:rsidRPr="00F86CE6">
        <w:rPr>
          <w:rFonts w:ascii="彩虹粗仿宋" w:eastAsia="彩虹粗仿宋" w:hAnsi="仿宋" w:cs="仿宋" w:hint="eastAsia"/>
          <w:color w:val="000000"/>
          <w:kern w:val="0"/>
          <w:sz w:val="32"/>
          <w:szCs w:val="32"/>
          <w:lang w:bidi="ar"/>
        </w:rPr>
        <w:t>固收类</w:t>
      </w:r>
      <w:proofErr w:type="gramEnd"/>
      <w:r w:rsidRPr="00F86CE6">
        <w:rPr>
          <w:rFonts w:ascii="彩虹粗仿宋" w:eastAsia="彩虹粗仿宋" w:hAnsi="仿宋" w:cs="仿宋" w:hint="eastAsia"/>
          <w:color w:val="000000"/>
          <w:kern w:val="0"/>
          <w:sz w:val="32"/>
          <w:szCs w:val="32"/>
          <w:lang w:bidi="ar"/>
        </w:rPr>
        <w:t>、权益类、商品类等大类资产的优质产品池，形成最佳的动态资产配置组合。其中，“龙智投”作为组合投资产品，在配置策略上凝结了多方专家评估和人工智能技术。首期推出“鑫享激情”和“乐享稳健”两大类策略，共24种产品和组合，满足不同风险收益和投资期限需求。“龙财富”通过智能与人工的有机融合，提供双智能引擎。“龙财富”通过运用金融技术工具、大量先进的模型算法，有效提升了决策的精准度和效率。</w:t>
      </w:r>
      <w:r w:rsidRPr="00F86CE6">
        <w:rPr>
          <w:rFonts w:ascii="宋体" w:hAnsi="宋体" w:hint="eastAsia"/>
          <w:color w:val="000000"/>
          <w:kern w:val="0"/>
          <w:sz w:val="32"/>
          <w:szCs w:val="32"/>
          <w:lang w:bidi="ar"/>
        </w:rPr>
        <w:t> </w:t>
      </w:r>
    </w:p>
    <w:p w:rsidR="00F90403" w:rsidRPr="00F86CE6" w:rsidRDefault="007C7E4B" w:rsidP="00CA4FFC">
      <w:pPr>
        <w:widowControl/>
        <w:ind w:firstLine="645"/>
        <w:jc w:val="left"/>
        <w:rPr>
          <w:rFonts w:ascii="彩虹粗仿宋" w:eastAsia="彩虹粗仿宋" w:hint="eastAsia"/>
        </w:rPr>
      </w:pPr>
      <w:r w:rsidRPr="00F86CE6">
        <w:rPr>
          <w:rFonts w:ascii="彩虹粗仿宋" w:eastAsia="彩虹粗仿宋" w:hAnsi="仿宋" w:cs="仿宋" w:hint="eastAsia"/>
          <w:color w:val="000000"/>
          <w:kern w:val="0"/>
          <w:sz w:val="32"/>
          <w:szCs w:val="32"/>
          <w:lang w:bidi="ar"/>
        </w:rPr>
        <w:t>“建行龙财富”通过线上线下融合，提供全天候、有温度的服务。“建行龙财富”依托1.4万个营业网点和超过6万专业客户经理提供强大线下服务支撑，客户随时可以在“建行龙财富”平台预约，享受客户经理面对面提供的专属服务。</w:t>
      </w:r>
    </w:p>
    <w:bookmarkEnd w:id="0"/>
    <w:p w:rsidR="00F90403" w:rsidRDefault="00F9040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90403" w:rsidRDefault="00F9040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F90403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D7" w:rsidRDefault="004764D7">
      <w:r>
        <w:separator/>
      </w:r>
    </w:p>
  </w:endnote>
  <w:endnote w:type="continuationSeparator" w:id="0">
    <w:p w:rsidR="004764D7" w:rsidRDefault="004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03" w:rsidRDefault="007C7E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6CE6" w:rsidRPr="00F86CE6">
      <w:rPr>
        <w:noProof/>
        <w:lang w:val="zh-CN"/>
      </w:rPr>
      <w:t>3</w:t>
    </w:r>
    <w:r>
      <w:fldChar w:fldCharType="end"/>
    </w:r>
  </w:p>
  <w:p w:rsidR="00F90403" w:rsidRDefault="00F904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D7" w:rsidRDefault="004764D7">
      <w:r>
        <w:separator/>
      </w:r>
    </w:p>
  </w:footnote>
  <w:footnote w:type="continuationSeparator" w:id="0">
    <w:p w:rsidR="004764D7" w:rsidRDefault="0047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632"/>
    <w:multiLevelType w:val="multilevel"/>
    <w:tmpl w:val="271A46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03"/>
    <w:rsid w:val="00432213"/>
    <w:rsid w:val="004764D7"/>
    <w:rsid w:val="007C6FE0"/>
    <w:rsid w:val="007C7E4B"/>
    <w:rsid w:val="00CA4FFC"/>
    <w:rsid w:val="00F86CE6"/>
    <w:rsid w:val="00F90403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191</Words>
  <Characters>1091</Characters>
  <Application>Microsoft Office Word</Application>
  <DocSecurity>0</DocSecurity>
  <Lines>9</Lines>
  <Paragraphs>2</Paragraphs>
  <ScaleCrop>false</ScaleCrop>
  <Company>政协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晋闽 王</dc:creator>
  <cp:lastModifiedBy>杨燕</cp:lastModifiedBy>
  <cp:revision>5</cp:revision>
  <dcterms:created xsi:type="dcterms:W3CDTF">2018-12-29T05:55:00Z</dcterms:created>
  <dcterms:modified xsi:type="dcterms:W3CDTF">2018-12-29T08:45:00Z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