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37D89" w:rsidRPr="00D37D8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“乾元-私享”2019年第184期私人银行人民币理财产品</w:t>
      </w:r>
      <w:r w:rsidR="007A7B86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半年</w:t>
      </w:r>
      <w:bookmarkStart w:id="0" w:name="_GoBack"/>
      <w:bookmarkEnd w:id="0"/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E19B3">
        <w:rPr>
          <w:rFonts w:asciiTheme="minorEastAsia" w:eastAsiaTheme="minorEastAsia" w:hAnsiTheme="minor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E19B3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37D89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37D89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“乾元-私享”2019年第184期私人银行人民币理财产品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012B1D">
        <w:rPr>
          <w:rFonts w:asciiTheme="minorEastAsia" w:eastAsiaTheme="minorEastAsia" w:hAnsiTheme="minor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12B1D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012B1D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12B1D">
        <w:rPr>
          <w:rFonts w:asciiTheme="minorEastAsia" w:eastAsiaTheme="minorEastAsia" w:hAnsiTheme="minorEastAsia"/>
          <w:color w:val="000000"/>
          <w:sz w:val="28"/>
          <w:szCs w:val="28"/>
        </w:rPr>
        <w:t>48555</w:t>
      </w:r>
      <w:r w:rsidR="00012B1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12B1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363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12B1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3.92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012B1D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2B1D">
              <w:rPr>
                <w:rFonts w:asciiTheme="minorEastAsia" w:eastAsiaTheme="minorEastAsia" w:hAnsiTheme="minorEastAsia" w:hint="eastAsia"/>
                <w:szCs w:val="21"/>
              </w:rPr>
              <w:t>“乾元-私享”2019年第184期私人银行人民币理财产品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012B1D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12B1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2019-10-9</w:t>
            </w:r>
          </w:p>
        </w:tc>
        <w:tc>
          <w:tcPr>
            <w:tcW w:w="1417" w:type="dxa"/>
            <w:vAlign w:val="center"/>
          </w:tcPr>
          <w:p w:rsidR="00E31B0A" w:rsidRPr="00E31B0A" w:rsidRDefault="00012B1D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12B1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2019-10-10</w:t>
            </w:r>
          </w:p>
        </w:tc>
        <w:tc>
          <w:tcPr>
            <w:tcW w:w="1418" w:type="dxa"/>
            <w:vAlign w:val="center"/>
          </w:tcPr>
          <w:p w:rsidR="00E31B0A" w:rsidRPr="00E31B0A" w:rsidRDefault="00012B1D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12B1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2019-10-11</w:t>
            </w:r>
          </w:p>
        </w:tc>
        <w:tc>
          <w:tcPr>
            <w:tcW w:w="1326" w:type="dxa"/>
            <w:vAlign w:val="center"/>
          </w:tcPr>
          <w:p w:rsidR="00E31B0A" w:rsidRPr="00E31B0A" w:rsidRDefault="00012B1D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12B1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2020-10-8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701"/>
        <w:gridCol w:w="1672"/>
        <w:gridCol w:w="1701"/>
        <w:gridCol w:w="1569"/>
      </w:tblGrid>
      <w:tr w:rsidR="005204A8" w:rsidTr="00AE19B3">
        <w:trPr>
          <w:trHeight w:val="285"/>
          <w:jc w:val="center"/>
        </w:trPr>
        <w:tc>
          <w:tcPr>
            <w:tcW w:w="208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67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69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E19B3" w:rsidTr="00AE19B3">
        <w:trPr>
          <w:trHeight w:val="285"/>
          <w:jc w:val="center"/>
        </w:trPr>
        <w:tc>
          <w:tcPr>
            <w:tcW w:w="2082" w:type="dxa"/>
            <w:vAlign w:val="center"/>
          </w:tcPr>
          <w:p w:rsidR="00AE19B3" w:rsidRDefault="00AE19B3" w:rsidP="00AE19B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01" w:type="dxa"/>
            <w:vAlign w:val="center"/>
          </w:tcPr>
          <w:p w:rsidR="00AE19B3" w:rsidRDefault="00AE19B3" w:rsidP="00AE19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19B3">
              <w:rPr>
                <w:rFonts w:ascii="宋体" w:hAnsi="宋体" w:cs="宋体"/>
                <w:kern w:val="0"/>
              </w:rPr>
              <w:t>99,139,645.72</w:t>
            </w:r>
          </w:p>
        </w:tc>
        <w:tc>
          <w:tcPr>
            <w:tcW w:w="1672" w:type="dxa"/>
            <w:vAlign w:val="center"/>
          </w:tcPr>
          <w:p w:rsidR="00AE19B3" w:rsidRDefault="00AE19B3" w:rsidP="00AE19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19B3">
              <w:rPr>
                <w:rFonts w:ascii="宋体" w:hAnsi="宋体" w:cs="宋体"/>
                <w:kern w:val="0"/>
              </w:rPr>
              <w:t>19.67%</w:t>
            </w:r>
          </w:p>
        </w:tc>
        <w:tc>
          <w:tcPr>
            <w:tcW w:w="1701" w:type="dxa"/>
          </w:tcPr>
          <w:p w:rsidR="00AE19B3" w:rsidRPr="00AE19B3" w:rsidRDefault="00AE19B3" w:rsidP="00AE19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19B3">
              <w:rPr>
                <w:rFonts w:ascii="宋体" w:hAnsi="宋体" w:cs="宋体"/>
                <w:kern w:val="0"/>
              </w:rPr>
              <w:t>99,139,645.72</w:t>
            </w:r>
          </w:p>
        </w:tc>
        <w:tc>
          <w:tcPr>
            <w:tcW w:w="1569" w:type="dxa"/>
          </w:tcPr>
          <w:p w:rsidR="00AE19B3" w:rsidRPr="00AE19B3" w:rsidRDefault="00AE19B3" w:rsidP="00AE19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19B3">
              <w:rPr>
                <w:rFonts w:ascii="宋体" w:hAnsi="宋体" w:cs="宋体"/>
                <w:kern w:val="0"/>
              </w:rPr>
              <w:t>19.67%</w:t>
            </w:r>
          </w:p>
        </w:tc>
      </w:tr>
      <w:tr w:rsidR="00AE19B3" w:rsidTr="00AE19B3">
        <w:trPr>
          <w:trHeight w:val="285"/>
          <w:jc w:val="center"/>
        </w:trPr>
        <w:tc>
          <w:tcPr>
            <w:tcW w:w="2082" w:type="dxa"/>
            <w:vAlign w:val="center"/>
          </w:tcPr>
          <w:p w:rsidR="00AE19B3" w:rsidRDefault="00AE19B3" w:rsidP="00AE19B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权益类投资</w:t>
            </w:r>
          </w:p>
        </w:tc>
        <w:tc>
          <w:tcPr>
            <w:tcW w:w="1701" w:type="dxa"/>
            <w:vAlign w:val="center"/>
          </w:tcPr>
          <w:p w:rsidR="00AE19B3" w:rsidRDefault="00AE19B3" w:rsidP="00AE19B3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E19B3">
              <w:rPr>
                <w:rFonts w:ascii="宋体" w:hAnsi="宋体" w:cs="宋体"/>
                <w:kern w:val="0"/>
              </w:rPr>
              <w:t>405,000,000.00</w:t>
            </w:r>
          </w:p>
        </w:tc>
        <w:tc>
          <w:tcPr>
            <w:tcW w:w="1672" w:type="dxa"/>
            <w:vAlign w:val="center"/>
          </w:tcPr>
          <w:p w:rsidR="00AE19B3" w:rsidRDefault="00AE19B3" w:rsidP="00AE19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19B3">
              <w:rPr>
                <w:rFonts w:ascii="宋体" w:hAnsi="宋体" w:cs="宋体"/>
                <w:kern w:val="0"/>
              </w:rPr>
              <w:t>80.33%</w:t>
            </w:r>
          </w:p>
        </w:tc>
        <w:tc>
          <w:tcPr>
            <w:tcW w:w="1701" w:type="dxa"/>
          </w:tcPr>
          <w:p w:rsidR="00AE19B3" w:rsidRPr="00AE19B3" w:rsidRDefault="00AE19B3" w:rsidP="00AE19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19B3">
              <w:rPr>
                <w:rFonts w:ascii="宋体" w:hAnsi="宋体" w:cs="宋体"/>
                <w:kern w:val="0"/>
              </w:rPr>
              <w:t>405,000,000.0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  <w:tc>
          <w:tcPr>
            <w:tcW w:w="1569" w:type="dxa"/>
          </w:tcPr>
          <w:p w:rsidR="00AE19B3" w:rsidRPr="00AE19B3" w:rsidRDefault="00AE19B3" w:rsidP="00AE19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19B3">
              <w:rPr>
                <w:rFonts w:ascii="宋体" w:hAnsi="宋体" w:cs="宋体"/>
                <w:kern w:val="0"/>
              </w:rPr>
              <w:t>80.33%</w:t>
            </w:r>
          </w:p>
        </w:tc>
      </w:tr>
      <w:tr w:rsidR="00AE19B3" w:rsidTr="00AE19B3">
        <w:trPr>
          <w:trHeight w:val="285"/>
          <w:jc w:val="center"/>
        </w:trPr>
        <w:tc>
          <w:tcPr>
            <w:tcW w:w="2082" w:type="dxa"/>
            <w:vAlign w:val="center"/>
          </w:tcPr>
          <w:p w:rsidR="00AE19B3" w:rsidRDefault="00AE19B3" w:rsidP="00AE19B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 w:rsidR="00AE19B3" w:rsidRDefault="00AE19B3" w:rsidP="00AE19B3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E19B3">
              <w:rPr>
                <w:rFonts w:ascii="宋体" w:hAnsi="宋体" w:cs="宋体"/>
                <w:kern w:val="0"/>
              </w:rPr>
              <w:t>504139645.72</w:t>
            </w:r>
          </w:p>
        </w:tc>
        <w:tc>
          <w:tcPr>
            <w:tcW w:w="1672" w:type="dxa"/>
            <w:vAlign w:val="center"/>
          </w:tcPr>
          <w:p w:rsidR="00AE19B3" w:rsidRDefault="00AE19B3" w:rsidP="00AE19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AE19B3" w:rsidRDefault="00AE19B3" w:rsidP="00AE19B3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E19B3">
              <w:rPr>
                <w:rFonts w:ascii="宋体" w:hAnsi="宋体" w:cs="宋体"/>
                <w:kern w:val="0"/>
              </w:rPr>
              <w:t>504139645.72</w:t>
            </w:r>
          </w:p>
        </w:tc>
        <w:tc>
          <w:tcPr>
            <w:tcW w:w="1569" w:type="dxa"/>
            <w:vAlign w:val="center"/>
          </w:tcPr>
          <w:p w:rsidR="00AE19B3" w:rsidRDefault="00AE19B3" w:rsidP="00AE19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685"/>
        <w:gridCol w:w="1809"/>
        <w:gridCol w:w="1761"/>
      </w:tblGrid>
      <w:tr w:rsidR="005204A8" w:rsidRPr="00437C59" w:rsidTr="00012B1D">
        <w:trPr>
          <w:trHeight w:val="589"/>
          <w:jc w:val="center"/>
        </w:trPr>
        <w:tc>
          <w:tcPr>
            <w:tcW w:w="1267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D2377F">
        <w:trPr>
          <w:trHeight w:val="496"/>
          <w:jc w:val="center"/>
        </w:trPr>
        <w:tc>
          <w:tcPr>
            <w:tcW w:w="1267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85" w:type="dxa"/>
            <w:vAlign w:val="center"/>
          </w:tcPr>
          <w:p w:rsidR="005204A8" w:rsidRPr="00C720CE" w:rsidRDefault="00012B1D" w:rsidP="00D2377F">
            <w:pPr>
              <w:jc w:val="center"/>
              <w:rPr>
                <w:rFonts w:asciiTheme="minorEastAsia" w:eastAsiaTheme="minorEastAsia" w:hAnsiTheme="minorEastAsia"/>
              </w:rPr>
            </w:pPr>
            <w:r w:rsidRPr="00012B1D">
              <w:rPr>
                <w:rFonts w:asciiTheme="minorEastAsia" w:eastAsiaTheme="minorEastAsia" w:hAnsiTheme="minorEastAsia" w:hint="eastAsia"/>
              </w:rPr>
              <w:t>16川宜宾国资EF001</w:t>
            </w:r>
          </w:p>
        </w:tc>
        <w:tc>
          <w:tcPr>
            <w:tcW w:w="1809" w:type="dxa"/>
            <w:vAlign w:val="center"/>
          </w:tcPr>
          <w:p w:rsidR="005204A8" w:rsidRPr="00C720CE" w:rsidRDefault="00AE19B3" w:rsidP="00AE19B3">
            <w:pPr>
              <w:jc w:val="center"/>
              <w:rPr>
                <w:rFonts w:asciiTheme="minorEastAsia" w:eastAsiaTheme="minorEastAsia" w:hAnsiTheme="minorEastAsia"/>
              </w:rPr>
            </w:pPr>
            <w:r w:rsidRPr="00AE19B3">
              <w:rPr>
                <w:rFonts w:asciiTheme="minorEastAsia" w:eastAsiaTheme="minorEastAsia" w:hAnsiTheme="minorEastAsia"/>
              </w:rPr>
              <w:t>405,000,000.00</w:t>
            </w:r>
          </w:p>
        </w:tc>
        <w:tc>
          <w:tcPr>
            <w:tcW w:w="1761" w:type="dxa"/>
            <w:vAlign w:val="center"/>
          </w:tcPr>
          <w:p w:rsidR="005204A8" w:rsidRPr="00C720CE" w:rsidRDefault="00AE19B3" w:rsidP="00AE19B3">
            <w:pPr>
              <w:rPr>
                <w:rFonts w:asciiTheme="minorEastAsia" w:eastAsiaTheme="minorEastAsia" w:hAnsiTheme="minorEastAsia"/>
              </w:rPr>
            </w:pPr>
            <w:r w:rsidRPr="00AE19B3">
              <w:rPr>
                <w:rFonts w:asciiTheme="minorEastAsia" w:eastAsiaTheme="minorEastAsia" w:hAnsiTheme="minorEastAsia"/>
              </w:rPr>
              <w:tab/>
              <w:t>80.33%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012B1D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012B1D">
              <w:rPr>
                <w:rFonts w:ascii="宋体" w:hAnsi="宋体" w:cs="宋体"/>
                <w:kern w:val="0"/>
              </w:rPr>
              <w:t>44050186320100001363-0937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2B21F2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2B21F2" w:rsidTr="002B21F2">
        <w:trPr>
          <w:trHeight w:val="285"/>
          <w:jc w:val="center"/>
        </w:trPr>
        <w:tc>
          <w:tcPr>
            <w:tcW w:w="793" w:type="dxa"/>
            <w:vAlign w:val="center"/>
          </w:tcPr>
          <w:p w:rsidR="002B21F2" w:rsidRDefault="002B21F2" w:rsidP="002B21F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2B21F2" w:rsidTr="002B21F2">
        <w:trPr>
          <w:trHeight w:val="285"/>
          <w:jc w:val="center"/>
        </w:trPr>
        <w:tc>
          <w:tcPr>
            <w:tcW w:w="793" w:type="dxa"/>
            <w:vAlign w:val="center"/>
          </w:tcPr>
          <w:p w:rsidR="002B21F2" w:rsidRDefault="002B21F2" w:rsidP="002B21F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2B21F2" w:rsidTr="002B21F2">
        <w:trPr>
          <w:trHeight w:val="285"/>
          <w:jc w:val="center"/>
        </w:trPr>
        <w:tc>
          <w:tcPr>
            <w:tcW w:w="793" w:type="dxa"/>
            <w:vAlign w:val="center"/>
          </w:tcPr>
          <w:p w:rsidR="002B21F2" w:rsidRDefault="002B21F2" w:rsidP="002B21F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2B21F2" w:rsidRDefault="002B21F2" w:rsidP="002B21F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E19B3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2B21F2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AE19B3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37D89" w:rsidP="005204A8">
      <w:pPr>
        <w:jc w:val="center"/>
        <w:rPr>
          <w:b/>
          <w:color w:val="000000"/>
          <w:sz w:val="24"/>
          <w:szCs w:val="24"/>
        </w:rPr>
      </w:pPr>
      <w:r w:rsidRPr="00D37D89">
        <w:rPr>
          <w:rFonts w:hint="eastAsia"/>
          <w:b/>
          <w:color w:val="000000"/>
          <w:sz w:val="24"/>
          <w:szCs w:val="24"/>
        </w:rPr>
        <w:t>“乾元</w:t>
      </w:r>
      <w:r w:rsidRPr="00D37D89">
        <w:rPr>
          <w:rFonts w:hint="eastAsia"/>
          <w:b/>
          <w:color w:val="000000"/>
          <w:sz w:val="24"/>
          <w:szCs w:val="24"/>
        </w:rPr>
        <w:t>-</w:t>
      </w:r>
      <w:r w:rsidRPr="00D37D89">
        <w:rPr>
          <w:rFonts w:hint="eastAsia"/>
          <w:b/>
          <w:color w:val="000000"/>
          <w:sz w:val="24"/>
          <w:szCs w:val="24"/>
        </w:rPr>
        <w:t>私享”</w:t>
      </w:r>
      <w:r w:rsidRPr="00D37D89">
        <w:rPr>
          <w:rFonts w:hint="eastAsia"/>
          <w:b/>
          <w:color w:val="000000"/>
          <w:sz w:val="24"/>
          <w:szCs w:val="24"/>
        </w:rPr>
        <w:t>2019</w:t>
      </w:r>
      <w:r w:rsidRPr="00D37D89">
        <w:rPr>
          <w:rFonts w:hint="eastAsia"/>
          <w:b/>
          <w:color w:val="000000"/>
          <w:sz w:val="24"/>
          <w:szCs w:val="24"/>
        </w:rPr>
        <w:t>年第</w:t>
      </w:r>
      <w:r w:rsidRPr="00D37D89">
        <w:rPr>
          <w:rFonts w:hint="eastAsia"/>
          <w:b/>
          <w:color w:val="000000"/>
          <w:sz w:val="24"/>
          <w:szCs w:val="24"/>
        </w:rPr>
        <w:t>184</w:t>
      </w:r>
      <w:r w:rsidRPr="00D37D89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AE19B3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AE19B3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37D89" w:rsidRPr="00D37D89">
        <w:rPr>
          <w:rFonts w:ascii="宋体" w:hAnsi="宋体" w:hint="eastAsia"/>
          <w:color w:val="000000"/>
          <w:szCs w:val="21"/>
        </w:rPr>
        <w:t>“乾元-私享”2019年第184期私人银行人民币理财产品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04BD4" w:rsidP="005A08AB">
            <w:pPr>
              <w:jc w:val="center"/>
            </w:pPr>
            <w:r w:rsidRPr="00A04BD4"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04BD4" w:rsidP="005A08AB">
            <w:pPr>
              <w:jc w:val="center"/>
            </w:pPr>
            <w:r w:rsidRPr="00A04BD4">
              <w:rPr>
                <w:rFonts w:hint="eastAsia"/>
              </w:rPr>
              <w:t>宜宾市国有资产经营有限公司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A04BD4" w:rsidP="005A08AB">
            <w:pPr>
              <w:jc w:val="center"/>
            </w:pPr>
            <w:r w:rsidRPr="00A04BD4">
              <w:rPr>
                <w:rFonts w:hint="eastAsia"/>
              </w:rPr>
              <w:t>16</w:t>
            </w:r>
            <w:r w:rsidRPr="00A04BD4">
              <w:rPr>
                <w:rFonts w:hint="eastAsia"/>
              </w:rPr>
              <w:t>川宜宾国资</w:t>
            </w:r>
            <w:r w:rsidRPr="00A04BD4">
              <w:rPr>
                <w:rFonts w:hint="eastAsia"/>
              </w:rPr>
              <w:t>EF001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E19B3" w:rsidP="005A08AB">
            <w:pPr>
              <w:jc w:val="center"/>
            </w:pPr>
            <w:r>
              <w:rPr>
                <w:rFonts w:hint="eastAsia"/>
              </w:rPr>
              <w:t>1</w:t>
            </w:r>
            <w:r>
              <w:t>039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A04BD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27" w:rsidRDefault="00DB6127" w:rsidP="00747E15">
      <w:r>
        <w:separator/>
      </w:r>
    </w:p>
  </w:endnote>
  <w:endnote w:type="continuationSeparator" w:id="0">
    <w:p w:rsidR="00DB6127" w:rsidRDefault="00DB612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27" w:rsidRDefault="00DB6127" w:rsidP="00747E15">
      <w:r>
        <w:separator/>
      </w:r>
    </w:p>
  </w:footnote>
  <w:footnote w:type="continuationSeparator" w:id="0">
    <w:p w:rsidR="00DB6127" w:rsidRDefault="00DB612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2B1D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B21F2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07785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A7B86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4BD4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19B3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77F"/>
    <w:rsid w:val="00D23DE7"/>
    <w:rsid w:val="00D30981"/>
    <w:rsid w:val="00D37D89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B6127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唐任君</cp:lastModifiedBy>
  <cp:revision>8</cp:revision>
  <cp:lastPrinted>2019-01-03T08:39:00Z</cp:lastPrinted>
  <dcterms:created xsi:type="dcterms:W3CDTF">2020-04-14T08:18:00Z</dcterms:created>
  <dcterms:modified xsi:type="dcterms:W3CDTF">2020-08-20T03:32:00Z</dcterms:modified>
</cp:coreProperties>
</file>